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06E6F1" w14:textId="42FEF425" w:rsidR="00151ADF" w:rsidRPr="00C51DCB" w:rsidRDefault="00C51DCB" w:rsidP="00151ADF">
      <w:pPr>
        <w:pStyle w:val="ListParagraph"/>
        <w:ind w:left="0"/>
        <w:rPr>
          <w:rFonts w:ascii="Verdana" w:hAnsi="Verdana"/>
          <w:b/>
          <w:sz w:val="32"/>
          <w:szCs w:val="32"/>
          <w:lang w:val="sr-Latn-RS"/>
        </w:rPr>
      </w:pPr>
      <w:r w:rsidRPr="00C51DCB">
        <w:rPr>
          <w:rFonts w:ascii="Verdana" w:hAnsi="Verdana"/>
          <w:b/>
          <w:sz w:val="32"/>
          <w:szCs w:val="32"/>
          <w:lang w:val="sr-Latn-RS"/>
        </w:rPr>
        <w:t>Plan lekcije</w:t>
      </w:r>
      <w:r w:rsidR="00151ADF" w:rsidRPr="00C51DCB">
        <w:rPr>
          <w:rFonts w:ascii="Verdana" w:hAnsi="Verdana"/>
          <w:b/>
          <w:sz w:val="32"/>
          <w:szCs w:val="32"/>
          <w:lang w:val="sr-Latn-RS"/>
        </w:rPr>
        <w:t xml:space="preserve"> </w:t>
      </w:r>
    </w:p>
    <w:p w14:paraId="297047B4" w14:textId="77777777" w:rsidR="00B71D66" w:rsidRPr="00C51DCB" w:rsidRDefault="00B71D66" w:rsidP="00B71D66">
      <w:pPr>
        <w:pStyle w:val="ListParagraph"/>
        <w:ind w:left="360"/>
        <w:rPr>
          <w:rFonts w:ascii="Verdana" w:hAnsi="Verdana"/>
          <w:lang w:val="sr-Latn-RS"/>
        </w:rPr>
      </w:pPr>
    </w:p>
    <w:p w14:paraId="6857C56D" w14:textId="7BCE6027" w:rsidR="00D82C18" w:rsidRPr="00C51DCB" w:rsidRDefault="00C51DCB" w:rsidP="00151ADF">
      <w:pPr>
        <w:pStyle w:val="ListParagraph"/>
        <w:ind w:left="0"/>
        <w:rPr>
          <w:rFonts w:ascii="Verdana" w:hAnsi="Verdana"/>
          <w:b/>
          <w:sz w:val="32"/>
          <w:szCs w:val="32"/>
          <w:lang w:val="sr-Latn-RS"/>
        </w:rPr>
      </w:pPr>
      <w:r w:rsidRPr="00C51DCB">
        <w:rPr>
          <w:rFonts w:ascii="Verdana" w:hAnsi="Verdana"/>
          <w:sz w:val="28"/>
          <w:szCs w:val="28"/>
          <w:lang w:val="sr-Latn-RS"/>
        </w:rPr>
        <w:t xml:space="preserve">Lekcija </w:t>
      </w:r>
      <w:r w:rsidR="00151ADF" w:rsidRPr="00C51DCB">
        <w:rPr>
          <w:rFonts w:ascii="Verdana" w:hAnsi="Verdana"/>
          <w:sz w:val="28"/>
          <w:szCs w:val="28"/>
          <w:lang w:val="sr-Latn-RS"/>
        </w:rPr>
        <w:t>3.x</w:t>
      </w:r>
      <w:r w:rsidR="00D82C18" w:rsidRPr="00C51DCB">
        <w:rPr>
          <w:rFonts w:ascii="Verdana" w:hAnsi="Verdana"/>
          <w:sz w:val="28"/>
          <w:szCs w:val="28"/>
          <w:lang w:val="sr-Latn-RS"/>
        </w:rPr>
        <w:t xml:space="preserve"> (</w:t>
      </w:r>
      <w:r w:rsidRPr="00C51DCB">
        <w:rPr>
          <w:rFonts w:ascii="Verdana" w:hAnsi="Verdana"/>
          <w:sz w:val="28"/>
          <w:szCs w:val="28"/>
          <w:lang w:val="sr-Latn-RS"/>
        </w:rPr>
        <w:t xml:space="preserve">Opšti pregled istrage visokotehnološkog kriminala: </w:t>
      </w:r>
      <w:r>
        <w:rPr>
          <w:rFonts w:ascii="Verdana" w:hAnsi="Verdana"/>
          <w:sz w:val="28"/>
          <w:szCs w:val="28"/>
          <w:lang w:val="sr-Latn-RS"/>
        </w:rPr>
        <w:t xml:space="preserve">Domaće i </w:t>
      </w:r>
      <w:r w:rsidRPr="00C51DCB">
        <w:rPr>
          <w:rFonts w:ascii="Verdana" w:hAnsi="Verdana"/>
          <w:sz w:val="28"/>
          <w:szCs w:val="28"/>
          <w:lang w:val="sr-Latn-RS"/>
        </w:rPr>
        <w:t>međunarodno iskustvo</w:t>
      </w:r>
      <w:r w:rsidR="00D82C18" w:rsidRPr="00C51DCB">
        <w:rPr>
          <w:rFonts w:ascii="Verdana" w:hAnsi="Verdana"/>
          <w:sz w:val="28"/>
          <w:szCs w:val="28"/>
          <w:lang w:val="sr-Latn-RS"/>
        </w:rPr>
        <w:t>)</w:t>
      </w:r>
    </w:p>
    <w:p w14:paraId="0A3DD02D" w14:textId="77777777" w:rsidR="00D82C18" w:rsidRPr="00C51DCB" w:rsidRDefault="00D82C18" w:rsidP="00B71D66">
      <w:pPr>
        <w:ind w:left="720"/>
        <w:rPr>
          <w:rFonts w:ascii="Verdana" w:hAnsi="Verdana"/>
          <w:lang w:val="sr-Latn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4711"/>
        <w:gridCol w:w="2684"/>
      </w:tblGrid>
      <w:tr w:rsidR="003406F3" w:rsidRPr="0013313C" w14:paraId="58A3485E" w14:textId="77777777" w:rsidTr="00CB3026">
        <w:trPr>
          <w:trHeight w:val="872"/>
        </w:trPr>
        <w:tc>
          <w:tcPr>
            <w:tcW w:w="6326" w:type="dxa"/>
            <w:gridSpan w:val="2"/>
            <w:shd w:val="clear" w:color="auto" w:fill="DEEAF6" w:themeFill="accent5" w:themeFillTint="33"/>
            <w:vAlign w:val="center"/>
          </w:tcPr>
          <w:p w14:paraId="0067FF35" w14:textId="0C50B49A" w:rsidR="00D82C18" w:rsidRPr="0013313C" w:rsidRDefault="00C51DCB" w:rsidP="0013313C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  <w:lang w:val="sr-Latn-RS"/>
              </w:rPr>
            </w:pPr>
            <w:r w:rsidRPr="0013313C">
              <w:rPr>
                <w:rFonts w:ascii="Verdana" w:hAnsi="Verdana"/>
                <w:sz w:val="22"/>
                <w:szCs w:val="22"/>
                <w:lang w:val="sr-Latn-RS"/>
              </w:rPr>
              <w:t xml:space="preserve">Lekcija </w:t>
            </w:r>
            <w:r w:rsidR="00151ADF" w:rsidRPr="0013313C">
              <w:rPr>
                <w:rFonts w:ascii="Verdana" w:hAnsi="Verdana"/>
                <w:sz w:val="22"/>
                <w:szCs w:val="22"/>
                <w:lang w:val="sr-Latn-RS"/>
              </w:rPr>
              <w:t>3.x</w:t>
            </w:r>
            <w:r w:rsidRPr="0013313C">
              <w:rPr>
                <w:rFonts w:ascii="Verdana" w:hAnsi="Verdana"/>
                <w:sz w:val="22"/>
                <w:szCs w:val="22"/>
                <w:lang w:val="sr-Latn-RS"/>
              </w:rPr>
              <w:t xml:space="preserve"> </w:t>
            </w:r>
            <w:r w:rsidR="00D82C18" w:rsidRPr="0013313C">
              <w:rPr>
                <w:rFonts w:ascii="Verdana" w:hAnsi="Verdana"/>
                <w:sz w:val="22"/>
                <w:szCs w:val="22"/>
                <w:lang w:val="sr-Latn-RS"/>
              </w:rPr>
              <w:t>(</w:t>
            </w:r>
            <w:r w:rsidRPr="0013313C">
              <w:rPr>
                <w:rFonts w:ascii="Verdana" w:hAnsi="Verdana"/>
                <w:sz w:val="22"/>
                <w:szCs w:val="22"/>
                <w:lang w:val="sr-Latn-RS"/>
              </w:rPr>
              <w:t>Opšti pregled istrage visokotehnološkog kriminala</w:t>
            </w:r>
            <w:r w:rsidR="00D82C18" w:rsidRPr="0013313C">
              <w:rPr>
                <w:rFonts w:ascii="Verdana" w:hAnsi="Verdana"/>
                <w:sz w:val="22"/>
                <w:szCs w:val="22"/>
                <w:lang w:val="sr-Latn-RS"/>
              </w:rPr>
              <w:t>)</w:t>
            </w:r>
          </w:p>
        </w:tc>
        <w:tc>
          <w:tcPr>
            <w:tcW w:w="2684" w:type="dxa"/>
            <w:shd w:val="clear" w:color="auto" w:fill="DEEAF6" w:themeFill="accent5" w:themeFillTint="33"/>
            <w:vAlign w:val="center"/>
          </w:tcPr>
          <w:p w14:paraId="30B631DA" w14:textId="749C5F7D" w:rsidR="00D82C18" w:rsidRPr="0013313C" w:rsidRDefault="00C51DCB" w:rsidP="0013313C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  <w:lang w:val="sr-Latn-RS"/>
              </w:rPr>
            </w:pPr>
            <w:r w:rsidRPr="0013313C">
              <w:rPr>
                <w:rFonts w:ascii="Verdana" w:hAnsi="Verdana"/>
                <w:sz w:val="22"/>
                <w:szCs w:val="22"/>
                <w:lang w:val="sr-Latn-RS"/>
              </w:rPr>
              <w:t>Trajanje</w:t>
            </w:r>
            <w:r w:rsidR="00D82C18" w:rsidRPr="0013313C">
              <w:rPr>
                <w:rFonts w:ascii="Verdana" w:hAnsi="Verdana"/>
                <w:sz w:val="22"/>
                <w:szCs w:val="22"/>
                <w:lang w:val="sr-Latn-RS"/>
              </w:rPr>
              <w:t xml:space="preserve">: </w:t>
            </w:r>
            <w:r w:rsidR="00151ADF" w:rsidRPr="0013313C">
              <w:rPr>
                <w:rFonts w:ascii="Verdana" w:hAnsi="Verdana"/>
                <w:sz w:val="22"/>
                <w:szCs w:val="22"/>
                <w:lang w:val="sr-Latn-RS"/>
              </w:rPr>
              <w:t>90</w:t>
            </w:r>
            <w:r w:rsidR="00B71D66" w:rsidRPr="0013313C">
              <w:rPr>
                <w:rFonts w:ascii="Verdana" w:hAnsi="Verdana"/>
                <w:sz w:val="22"/>
                <w:szCs w:val="22"/>
                <w:lang w:val="sr-Latn-RS"/>
              </w:rPr>
              <w:t xml:space="preserve"> </w:t>
            </w:r>
            <w:r w:rsidRPr="0013313C">
              <w:rPr>
                <w:rFonts w:ascii="Verdana" w:hAnsi="Verdana"/>
                <w:sz w:val="22"/>
                <w:szCs w:val="22"/>
                <w:lang w:val="sr-Latn-RS"/>
              </w:rPr>
              <w:t>minuta</w:t>
            </w:r>
          </w:p>
        </w:tc>
      </w:tr>
      <w:tr w:rsidR="003406F3" w:rsidRPr="0013313C" w14:paraId="7C1107AB" w14:textId="77777777" w:rsidTr="00B569A5">
        <w:trPr>
          <w:trHeight w:val="1025"/>
        </w:trPr>
        <w:tc>
          <w:tcPr>
            <w:tcW w:w="9010" w:type="dxa"/>
            <w:gridSpan w:val="3"/>
            <w:vAlign w:val="center"/>
          </w:tcPr>
          <w:p w14:paraId="54042637" w14:textId="4DD6E79D" w:rsidR="00E7344B" w:rsidRPr="0013313C" w:rsidRDefault="00C51DCB" w:rsidP="0013313C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13313C">
              <w:rPr>
                <w:rFonts w:ascii="Verdana" w:hAnsi="Verdana"/>
                <w:b/>
                <w:sz w:val="22"/>
                <w:szCs w:val="22"/>
                <w:lang w:val="sr-Latn-RS"/>
              </w:rPr>
              <w:t>Potrebni resursi</w:t>
            </w:r>
            <w:r w:rsidR="00E7344B" w:rsidRPr="0013313C">
              <w:rPr>
                <w:rFonts w:ascii="Verdana" w:hAnsi="Verdana"/>
                <w:b/>
                <w:sz w:val="22"/>
                <w:szCs w:val="22"/>
                <w:lang w:val="sr-Latn-RS"/>
              </w:rPr>
              <w:t>:</w:t>
            </w:r>
          </w:p>
          <w:p w14:paraId="3E3ADEA0" w14:textId="0976D379" w:rsidR="00E7344B" w:rsidRPr="0013313C" w:rsidRDefault="00C51DCB" w:rsidP="0013313C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contextualSpacing/>
              <w:rPr>
                <w:szCs w:val="18"/>
                <w:lang w:val="sr-Latn-RS"/>
              </w:rPr>
            </w:pPr>
            <w:r w:rsidRPr="0013313C">
              <w:rPr>
                <w:szCs w:val="18"/>
                <w:lang w:val="sr-Latn-RS"/>
              </w:rPr>
              <w:t>Lični računar ili laptop opremljen softverskim verzijama koje su kompatibilne sa pripremljenim materijalom</w:t>
            </w:r>
          </w:p>
          <w:p w14:paraId="737B8760" w14:textId="6F0C6E9E" w:rsidR="00E7344B" w:rsidRPr="0013313C" w:rsidRDefault="00455F04" w:rsidP="0013313C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contextualSpacing/>
              <w:rPr>
                <w:szCs w:val="18"/>
                <w:lang w:val="sr-Latn-RS"/>
              </w:rPr>
            </w:pPr>
            <w:r w:rsidRPr="0013313C">
              <w:rPr>
                <w:bCs/>
                <w:szCs w:val="18"/>
                <w:lang w:val="sr-Latn-RS"/>
              </w:rPr>
              <w:t xml:space="preserve">Projektor i ekran </w:t>
            </w:r>
          </w:p>
          <w:p w14:paraId="65055340" w14:textId="097940E8" w:rsidR="00E7344B" w:rsidRPr="0013313C" w:rsidRDefault="00EC79FB" w:rsidP="0013313C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contextualSpacing/>
              <w:rPr>
                <w:szCs w:val="18"/>
                <w:lang w:val="sr-Latn-RS"/>
              </w:rPr>
            </w:pPr>
            <w:r w:rsidRPr="0013313C">
              <w:rPr>
                <w:bCs/>
                <w:szCs w:val="18"/>
                <w:lang w:val="sr-Latn-RS"/>
              </w:rPr>
              <w:t>Pristup internetu</w:t>
            </w:r>
            <w:r w:rsidR="00E7344B" w:rsidRPr="0013313C">
              <w:rPr>
                <w:bCs/>
                <w:szCs w:val="18"/>
                <w:lang w:val="sr-Latn-RS"/>
              </w:rPr>
              <w:t xml:space="preserve"> (</w:t>
            </w:r>
            <w:r w:rsidRPr="0013313C">
              <w:rPr>
                <w:bCs/>
                <w:szCs w:val="18"/>
                <w:lang w:val="sr-Latn-RS"/>
              </w:rPr>
              <w:t xml:space="preserve">ako je </w:t>
            </w:r>
            <w:r w:rsidR="00362142" w:rsidRPr="0013313C">
              <w:rPr>
                <w:bCs/>
                <w:szCs w:val="18"/>
                <w:lang w:val="sr-Latn-RS"/>
              </w:rPr>
              <w:t>moguć</w:t>
            </w:r>
            <w:r w:rsidR="00E7344B" w:rsidRPr="0013313C">
              <w:rPr>
                <w:bCs/>
                <w:szCs w:val="18"/>
                <w:lang w:val="sr-Latn-RS"/>
              </w:rPr>
              <w:t>)</w:t>
            </w:r>
            <w:r w:rsidR="00F62A15" w:rsidRPr="0013313C">
              <w:rPr>
                <w:bCs/>
                <w:szCs w:val="18"/>
                <w:lang w:val="sr-Latn-RS"/>
              </w:rPr>
              <w:t>.</w:t>
            </w:r>
            <w:r w:rsidR="00362142" w:rsidRPr="0013313C">
              <w:rPr>
                <w:bCs/>
                <w:szCs w:val="18"/>
                <w:lang w:val="sr-Latn-RS"/>
              </w:rPr>
              <w:t xml:space="preserve"> </w:t>
            </w:r>
          </w:p>
          <w:p w14:paraId="14CF9EF0" w14:textId="5C808019" w:rsidR="00E7344B" w:rsidRPr="0013313C" w:rsidRDefault="00EC79FB" w:rsidP="0013313C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contextualSpacing/>
              <w:rPr>
                <w:i/>
                <w:szCs w:val="18"/>
                <w:lang w:val="sr-Latn-RS"/>
              </w:rPr>
            </w:pPr>
            <w:r w:rsidRPr="0013313C">
              <w:rPr>
                <w:rFonts w:cs="Helvetica"/>
                <w:szCs w:val="18"/>
                <w:lang w:val="sr-Latn-RS"/>
              </w:rPr>
              <w:t>Beležnice i olovke za polaznike</w:t>
            </w:r>
            <w:r w:rsidR="00F62A15" w:rsidRPr="0013313C">
              <w:rPr>
                <w:rFonts w:cs="Helvetica"/>
                <w:szCs w:val="18"/>
                <w:lang w:val="sr-Latn-RS"/>
              </w:rPr>
              <w:t>.</w:t>
            </w:r>
          </w:p>
        </w:tc>
      </w:tr>
      <w:tr w:rsidR="003406F3" w:rsidRPr="0013313C" w14:paraId="635F2EFD" w14:textId="77777777" w:rsidTr="00B569A5">
        <w:trPr>
          <w:trHeight w:val="1241"/>
        </w:trPr>
        <w:tc>
          <w:tcPr>
            <w:tcW w:w="9010" w:type="dxa"/>
            <w:gridSpan w:val="3"/>
            <w:vAlign w:val="center"/>
          </w:tcPr>
          <w:p w14:paraId="34602AF3" w14:textId="023D649E" w:rsidR="00A03CF0" w:rsidRPr="0013313C" w:rsidRDefault="00EC79FB" w:rsidP="0013313C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13313C">
              <w:rPr>
                <w:rFonts w:ascii="Verdana" w:hAnsi="Verdana"/>
                <w:b/>
                <w:sz w:val="22"/>
                <w:szCs w:val="22"/>
                <w:lang w:val="sr-Latn-RS"/>
              </w:rPr>
              <w:t>Svrha sesije</w:t>
            </w:r>
            <w:r w:rsidR="00A03CF0" w:rsidRPr="0013313C">
              <w:rPr>
                <w:rFonts w:ascii="Verdana" w:hAnsi="Verdana"/>
                <w:b/>
                <w:sz w:val="22"/>
                <w:szCs w:val="22"/>
                <w:lang w:val="sr-Latn-RS"/>
              </w:rPr>
              <w:t>:</w:t>
            </w:r>
            <w:r w:rsidR="004324E9" w:rsidRPr="0013313C">
              <w:rPr>
                <w:rFonts w:ascii="Verdana" w:hAnsi="Verdana"/>
                <w:b/>
                <w:sz w:val="22"/>
                <w:szCs w:val="22"/>
                <w:lang w:val="sr-Latn-RS"/>
              </w:rPr>
              <w:t xml:space="preserve"> </w:t>
            </w:r>
          </w:p>
          <w:p w14:paraId="3FE58655" w14:textId="1022763D" w:rsidR="00A03CF0" w:rsidRPr="0013313C" w:rsidRDefault="00EC79FB" w:rsidP="0013313C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13313C">
              <w:rPr>
                <w:rFonts w:ascii="Verdana" w:hAnsi="Verdana"/>
                <w:sz w:val="18"/>
                <w:szCs w:val="18"/>
                <w:lang w:val="sr-Latn-RS"/>
              </w:rPr>
              <w:t>Opšta svrha ove sesije jeste da se polaznicima omogući da sagledaju kako izgleda istraga visokotehnološkog kriminala na osnovu poređenja međunarodnih i lokalnih iskustava. Polaznicima će biti opis</w:t>
            </w:r>
            <w:r w:rsidR="006C6605" w:rsidRPr="0013313C">
              <w:rPr>
                <w:rFonts w:ascii="Verdana" w:hAnsi="Verdana"/>
                <w:sz w:val="18"/>
                <w:szCs w:val="18"/>
                <w:lang w:val="sr-Latn-RS"/>
              </w:rPr>
              <w:t>ani</w:t>
            </w:r>
            <w:r w:rsidRPr="0013313C">
              <w:rPr>
                <w:rFonts w:ascii="Verdana" w:hAnsi="Verdana"/>
                <w:sz w:val="18"/>
                <w:szCs w:val="18"/>
                <w:lang w:val="sr-Latn-RS"/>
              </w:rPr>
              <w:t xml:space="preserve"> organ</w:t>
            </w:r>
            <w:r w:rsidR="006C6605" w:rsidRPr="0013313C">
              <w:rPr>
                <w:rFonts w:ascii="Verdana" w:hAnsi="Verdana"/>
                <w:sz w:val="18"/>
                <w:szCs w:val="18"/>
                <w:lang w:val="sr-Latn-RS"/>
              </w:rPr>
              <w:t>i</w:t>
            </w:r>
            <w:r w:rsidRPr="0013313C">
              <w:rPr>
                <w:rFonts w:ascii="Verdana" w:hAnsi="Verdana"/>
                <w:sz w:val="18"/>
                <w:szCs w:val="18"/>
                <w:lang w:val="sr-Latn-RS"/>
              </w:rPr>
              <w:t xml:space="preserve"> koji se bave istragom visokotehnološkog kriminala, način na koji su oni ustrojeni, materijalni i procesni aspekti istrage, osnovni elementi istrage u različitim pravnim porecima i neka konkretna međunarodna i lokalna iskustva. </w:t>
            </w:r>
          </w:p>
        </w:tc>
      </w:tr>
      <w:tr w:rsidR="003406F3" w:rsidRPr="0013313C" w14:paraId="1B5A80A7" w14:textId="77777777" w:rsidTr="00B569A5">
        <w:trPr>
          <w:trHeight w:val="2240"/>
        </w:trPr>
        <w:tc>
          <w:tcPr>
            <w:tcW w:w="9010" w:type="dxa"/>
            <w:gridSpan w:val="3"/>
            <w:vAlign w:val="center"/>
          </w:tcPr>
          <w:p w14:paraId="559A7E05" w14:textId="78724A0C" w:rsidR="00A03CF0" w:rsidRPr="0013313C" w:rsidRDefault="00EC79FB" w:rsidP="0013313C">
            <w:pPr>
              <w:spacing w:before="120" w:after="120" w:line="260" w:lineRule="atLeast"/>
              <w:contextualSpacing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13313C">
              <w:rPr>
                <w:rFonts w:ascii="Verdana" w:hAnsi="Verdana"/>
                <w:b/>
                <w:sz w:val="22"/>
                <w:szCs w:val="22"/>
                <w:lang w:val="sr-Latn-RS"/>
              </w:rPr>
              <w:t>Ciljevi</w:t>
            </w:r>
            <w:r w:rsidR="004324E9" w:rsidRPr="0013313C">
              <w:rPr>
                <w:rFonts w:ascii="Verdana" w:hAnsi="Verdana"/>
                <w:b/>
                <w:sz w:val="22"/>
                <w:szCs w:val="22"/>
                <w:lang w:val="sr-Latn-RS"/>
              </w:rPr>
              <w:t xml:space="preserve"> sesije</w:t>
            </w:r>
            <w:r w:rsidR="00271010" w:rsidRPr="0013313C">
              <w:rPr>
                <w:rFonts w:ascii="Verdana" w:hAnsi="Verdana"/>
                <w:b/>
                <w:sz w:val="22"/>
                <w:szCs w:val="22"/>
                <w:lang w:val="sr-Latn-RS"/>
              </w:rPr>
              <w:t>:</w:t>
            </w:r>
          </w:p>
          <w:p w14:paraId="3BEE7864" w14:textId="6D2491FF" w:rsidR="005703B7" w:rsidRPr="0013313C" w:rsidRDefault="00EC79FB" w:rsidP="0013313C">
            <w:pPr>
              <w:tabs>
                <w:tab w:val="left" w:pos="426"/>
                <w:tab w:val="left" w:pos="851"/>
              </w:tabs>
              <w:spacing w:before="120" w:after="120" w:line="260" w:lineRule="atLeast"/>
              <w:ind w:firstLine="425"/>
              <w:contextualSpacing/>
              <w:jc w:val="both"/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</w:pPr>
            <w:r w:rsidRPr="0013313C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>Do kraja ove lekcije polaznici će biti u stanju da:</w:t>
            </w:r>
          </w:p>
          <w:p w14:paraId="4578A9A1" w14:textId="77777777" w:rsidR="00EC79FB" w:rsidRPr="0013313C" w:rsidRDefault="00EC79FB" w:rsidP="0013313C">
            <w:pPr>
              <w:pStyle w:val="bul1"/>
              <w:spacing w:before="120" w:after="120" w:line="260" w:lineRule="atLeast"/>
              <w:ind w:left="697" w:hanging="360"/>
              <w:rPr>
                <w:szCs w:val="18"/>
                <w:lang w:val="sr-Latn-RS"/>
              </w:rPr>
            </w:pPr>
            <w:r w:rsidRPr="0013313C">
              <w:rPr>
                <w:szCs w:val="18"/>
                <w:lang w:val="sr-Latn-RS"/>
              </w:rPr>
              <w:t xml:space="preserve">Razumeju pravni okvir i praktičnu organizaciju organa nadležnih za suzbijanje visokotehnološkog kriminala i njegovo krivično gonjenje i suđenje u tim predmetima </w:t>
            </w:r>
          </w:p>
          <w:p w14:paraId="10E26969" w14:textId="77777777" w:rsidR="00EC79FB" w:rsidRPr="0013313C" w:rsidRDefault="00EC79FB" w:rsidP="0013313C">
            <w:pPr>
              <w:pStyle w:val="bul1"/>
              <w:spacing w:before="120" w:after="120" w:line="260" w:lineRule="atLeast"/>
              <w:ind w:left="697" w:hanging="360"/>
              <w:rPr>
                <w:szCs w:val="18"/>
                <w:lang w:val="sr-Latn-RS"/>
              </w:rPr>
            </w:pPr>
            <w:r w:rsidRPr="0013313C">
              <w:rPr>
                <w:szCs w:val="18"/>
                <w:lang w:val="sr-Latn-RS"/>
              </w:rPr>
              <w:t xml:space="preserve">Razmotre i shvate osnovne pojmove vezane za istragu visokotehnološkog kriminala i uloge organa vlasti koji su u to uključeni </w:t>
            </w:r>
          </w:p>
          <w:p w14:paraId="0E328975" w14:textId="77777777" w:rsidR="00EC79FB" w:rsidRPr="0013313C" w:rsidRDefault="00EC79FB" w:rsidP="0013313C">
            <w:pPr>
              <w:pStyle w:val="bul1"/>
              <w:spacing w:before="120" w:after="120" w:line="260" w:lineRule="atLeast"/>
              <w:ind w:left="697" w:hanging="360"/>
              <w:rPr>
                <w:szCs w:val="18"/>
                <w:lang w:val="sr-Latn-RS"/>
              </w:rPr>
            </w:pPr>
            <w:r w:rsidRPr="0013313C">
              <w:rPr>
                <w:szCs w:val="18"/>
                <w:lang w:val="sr-Latn-RS"/>
              </w:rPr>
              <w:t xml:space="preserve">Steknu saznanja o međunarodnim iskustvima u pogledu specijalizovanih organa vlasti zaduženih za ovu oblast i istrage visokotehnološkog kriminala </w:t>
            </w:r>
          </w:p>
          <w:p w14:paraId="61ABEAC5" w14:textId="56D3408A" w:rsidR="0051122C" w:rsidRPr="0013313C" w:rsidRDefault="00941A71" w:rsidP="0013313C">
            <w:pPr>
              <w:pStyle w:val="bul1"/>
              <w:spacing w:before="120" w:after="120" w:line="260" w:lineRule="atLeast"/>
              <w:ind w:left="697" w:hanging="360"/>
              <w:rPr>
                <w:szCs w:val="18"/>
                <w:lang w:val="sr-Latn-RS"/>
              </w:rPr>
            </w:pPr>
            <w:r w:rsidRPr="0013313C">
              <w:rPr>
                <w:szCs w:val="18"/>
                <w:lang w:val="sr-Latn-RS"/>
              </w:rPr>
              <w:t>Steknu saznanja o domaćim iskustvima na tom planu</w:t>
            </w:r>
          </w:p>
        </w:tc>
      </w:tr>
      <w:tr w:rsidR="003406F3" w:rsidRPr="0013313C" w14:paraId="03110757" w14:textId="77777777" w:rsidTr="00B569A5">
        <w:trPr>
          <w:trHeight w:val="1475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7A064E85" w14:textId="4025F951" w:rsidR="005703B7" w:rsidRPr="0013313C" w:rsidRDefault="00941A71" w:rsidP="0013313C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13313C">
              <w:rPr>
                <w:rFonts w:ascii="Verdana" w:hAnsi="Verdana"/>
                <w:b/>
                <w:sz w:val="22"/>
                <w:szCs w:val="22"/>
                <w:lang w:val="sr-Latn-RS"/>
              </w:rPr>
              <w:t xml:space="preserve">Uputstvo za predavača </w:t>
            </w:r>
          </w:p>
          <w:p w14:paraId="5EFF4BEF" w14:textId="2241FC7D" w:rsidR="007B75A9" w:rsidRPr="0013313C" w:rsidRDefault="00941A71" w:rsidP="0013313C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13313C">
              <w:rPr>
                <w:rFonts w:ascii="Verdana" w:hAnsi="Verdana"/>
                <w:sz w:val="18"/>
                <w:szCs w:val="18"/>
                <w:lang w:val="sr-Latn-RS"/>
              </w:rPr>
              <w:t xml:space="preserve">Ova sesija je pripremljena tako da se polaznicima </w:t>
            </w:r>
            <w:r w:rsidR="001812A1" w:rsidRPr="0013313C">
              <w:rPr>
                <w:rFonts w:ascii="Verdana" w:hAnsi="Verdana"/>
                <w:sz w:val="18"/>
                <w:szCs w:val="18"/>
                <w:lang w:val="sr-Latn-RS"/>
              </w:rPr>
              <w:t xml:space="preserve">pomogne </w:t>
            </w:r>
            <w:r w:rsidRPr="0013313C">
              <w:rPr>
                <w:rFonts w:ascii="Verdana" w:hAnsi="Verdana"/>
                <w:sz w:val="18"/>
                <w:szCs w:val="18"/>
                <w:lang w:val="sr-Latn-RS"/>
              </w:rPr>
              <w:t xml:space="preserve">da sveobuhvatno </w:t>
            </w:r>
            <w:r w:rsidR="006C6605" w:rsidRPr="0013313C">
              <w:rPr>
                <w:rFonts w:ascii="Verdana" w:hAnsi="Verdana"/>
                <w:sz w:val="18"/>
                <w:szCs w:val="18"/>
                <w:lang w:val="sr-Latn-RS"/>
              </w:rPr>
              <w:t>shvate</w:t>
            </w:r>
            <w:r w:rsidRPr="0013313C">
              <w:rPr>
                <w:rFonts w:ascii="Verdana" w:hAnsi="Verdana"/>
                <w:sz w:val="18"/>
                <w:szCs w:val="18"/>
                <w:lang w:val="sr-Latn-RS"/>
              </w:rPr>
              <w:t xml:space="preserve"> mehaniz</w:t>
            </w:r>
            <w:r w:rsidR="006C6605" w:rsidRPr="0013313C">
              <w:rPr>
                <w:rFonts w:ascii="Verdana" w:hAnsi="Verdana"/>
                <w:sz w:val="18"/>
                <w:szCs w:val="18"/>
                <w:lang w:val="sr-Latn-RS"/>
              </w:rPr>
              <w:t>me</w:t>
            </w:r>
            <w:r w:rsidRPr="0013313C">
              <w:rPr>
                <w:rFonts w:ascii="Verdana" w:hAnsi="Verdana"/>
                <w:sz w:val="18"/>
                <w:szCs w:val="18"/>
                <w:lang w:val="sr-Latn-RS"/>
              </w:rPr>
              <w:t xml:space="preserve"> istrage visokotehnološkog kriminala. Sesija je podeljena na četiri dela, pored uvodnog i zaključnog dela. U prvom delu sesije obuhvaćeni su nadležni organi za borbu protiv visokotehnološkog kriminala. Drugi deo odnosi se na osnovne pojmove </w:t>
            </w:r>
            <w:r w:rsidR="006C6605" w:rsidRPr="0013313C">
              <w:rPr>
                <w:rFonts w:ascii="Verdana" w:hAnsi="Verdana"/>
                <w:sz w:val="18"/>
                <w:szCs w:val="18"/>
                <w:lang w:val="sr-Latn-RS"/>
              </w:rPr>
              <w:t xml:space="preserve">u </w:t>
            </w:r>
            <w:r w:rsidRPr="0013313C">
              <w:rPr>
                <w:rFonts w:ascii="Verdana" w:hAnsi="Verdana"/>
                <w:sz w:val="18"/>
                <w:szCs w:val="18"/>
                <w:lang w:val="sr-Latn-RS"/>
              </w:rPr>
              <w:t>vez</w:t>
            </w:r>
            <w:r w:rsidR="006C6605" w:rsidRPr="0013313C">
              <w:rPr>
                <w:rFonts w:ascii="Verdana" w:hAnsi="Verdana"/>
                <w:sz w:val="18"/>
                <w:szCs w:val="18"/>
                <w:lang w:val="sr-Latn-RS"/>
              </w:rPr>
              <w:t>i</w:t>
            </w:r>
            <w:r w:rsidRPr="0013313C">
              <w:rPr>
                <w:rFonts w:ascii="Verdana" w:hAnsi="Verdana"/>
                <w:sz w:val="18"/>
                <w:szCs w:val="18"/>
                <w:lang w:val="sr-Latn-RS"/>
              </w:rPr>
              <w:t xml:space="preserve"> </w:t>
            </w:r>
            <w:r w:rsidR="006C6605" w:rsidRPr="0013313C">
              <w:rPr>
                <w:rFonts w:ascii="Verdana" w:hAnsi="Verdana"/>
                <w:sz w:val="18"/>
                <w:szCs w:val="18"/>
                <w:lang w:val="sr-Latn-RS"/>
              </w:rPr>
              <w:t>s</w:t>
            </w:r>
            <w:r w:rsidRPr="0013313C">
              <w:rPr>
                <w:rFonts w:ascii="Verdana" w:hAnsi="Verdana"/>
                <w:sz w:val="18"/>
                <w:szCs w:val="18"/>
                <w:lang w:val="sr-Latn-RS"/>
              </w:rPr>
              <w:t>a istrag</w:t>
            </w:r>
            <w:r w:rsidR="006C6605" w:rsidRPr="0013313C">
              <w:rPr>
                <w:rFonts w:ascii="Verdana" w:hAnsi="Verdana"/>
                <w:sz w:val="18"/>
                <w:szCs w:val="18"/>
                <w:lang w:val="sr-Latn-RS"/>
              </w:rPr>
              <w:t>om</w:t>
            </w:r>
            <w:r w:rsidRPr="0013313C">
              <w:rPr>
                <w:rFonts w:ascii="Verdana" w:hAnsi="Verdana"/>
                <w:sz w:val="18"/>
                <w:szCs w:val="18"/>
                <w:lang w:val="sr-Latn-RS"/>
              </w:rPr>
              <w:t xml:space="preserve"> visokotehnološkog kriminala. U trećem delu iznose se informacije o nekim međunarodnim iskustvima na tom planu. Četvrti deo sadrži informacije o domaćoj organizaciji i iskustvu. </w:t>
            </w:r>
          </w:p>
        </w:tc>
      </w:tr>
      <w:tr w:rsidR="003406F3" w:rsidRPr="0013313C" w14:paraId="7760520D" w14:textId="77777777" w:rsidTr="00E13BE7">
        <w:trPr>
          <w:trHeight w:val="701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701323A4" w:rsidR="005A4E47" w:rsidRPr="0013313C" w:rsidRDefault="00941A71" w:rsidP="0013313C">
            <w:pPr>
              <w:spacing w:before="120" w:after="120" w:line="260" w:lineRule="atLeast"/>
              <w:rPr>
                <w:rFonts w:ascii="Verdana" w:hAnsi="Verdana"/>
                <w:b/>
                <w:sz w:val="28"/>
                <w:szCs w:val="28"/>
                <w:lang w:val="sr-Latn-RS"/>
              </w:rPr>
            </w:pPr>
            <w:r w:rsidRPr="0013313C">
              <w:rPr>
                <w:rFonts w:ascii="Verdana" w:hAnsi="Verdana"/>
                <w:b/>
                <w:sz w:val="28"/>
                <w:szCs w:val="28"/>
                <w:lang w:val="sr-Latn-RS"/>
              </w:rPr>
              <w:t>Sadržaj lekcije</w:t>
            </w:r>
          </w:p>
        </w:tc>
      </w:tr>
      <w:tr w:rsidR="003406F3" w:rsidRPr="0013313C" w14:paraId="57CC7AA4" w14:textId="77777777" w:rsidTr="00CB3026">
        <w:trPr>
          <w:trHeight w:val="629"/>
        </w:trPr>
        <w:tc>
          <w:tcPr>
            <w:tcW w:w="1615" w:type="dxa"/>
            <w:shd w:val="clear" w:color="auto" w:fill="D9E2F3" w:themeFill="accent1" w:themeFillTint="33"/>
            <w:vAlign w:val="center"/>
          </w:tcPr>
          <w:p w14:paraId="4538C338" w14:textId="4AAD93F5" w:rsidR="00D82C18" w:rsidRPr="0013313C" w:rsidRDefault="00941A71" w:rsidP="0013313C">
            <w:pPr>
              <w:spacing w:before="120" w:after="120" w:line="260" w:lineRule="atLeast"/>
              <w:jc w:val="center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13313C">
              <w:rPr>
                <w:rFonts w:ascii="Verdana" w:hAnsi="Verdana"/>
                <w:b/>
                <w:sz w:val="22"/>
                <w:szCs w:val="22"/>
                <w:lang w:val="sr-Latn-RS"/>
              </w:rPr>
              <w:t>Broj slajdova</w:t>
            </w:r>
          </w:p>
        </w:tc>
        <w:tc>
          <w:tcPr>
            <w:tcW w:w="7395" w:type="dxa"/>
            <w:gridSpan w:val="2"/>
            <w:shd w:val="clear" w:color="auto" w:fill="D9E2F3" w:themeFill="accent1" w:themeFillTint="33"/>
            <w:vAlign w:val="center"/>
          </w:tcPr>
          <w:p w14:paraId="2DA616FC" w14:textId="2A6D3961" w:rsidR="00D82C18" w:rsidRPr="0013313C" w:rsidRDefault="00941A71" w:rsidP="0013313C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13313C">
              <w:rPr>
                <w:rFonts w:ascii="Verdana" w:hAnsi="Verdana"/>
                <w:b/>
                <w:sz w:val="22"/>
                <w:szCs w:val="22"/>
                <w:lang w:val="sr-Latn-RS"/>
              </w:rPr>
              <w:t>Sadržaj</w:t>
            </w:r>
          </w:p>
        </w:tc>
      </w:tr>
      <w:tr w:rsidR="003406F3" w:rsidRPr="0013313C" w14:paraId="11A12D7E" w14:textId="77777777" w:rsidTr="00DB09DC">
        <w:trPr>
          <w:trHeight w:val="530"/>
        </w:trPr>
        <w:tc>
          <w:tcPr>
            <w:tcW w:w="1615" w:type="dxa"/>
            <w:vAlign w:val="center"/>
          </w:tcPr>
          <w:p w14:paraId="5A89CF27" w14:textId="6B44DEC0" w:rsidR="00D82C18" w:rsidRPr="0013313C" w:rsidRDefault="003630ED" w:rsidP="0013313C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13313C">
              <w:rPr>
                <w:rFonts w:ascii="Verdana" w:hAnsi="Verdana"/>
                <w:sz w:val="18"/>
                <w:szCs w:val="18"/>
                <w:lang w:val="sr-Latn-RS"/>
              </w:rPr>
              <w:t>1</w:t>
            </w:r>
            <w:r w:rsidR="006C6605" w:rsidRPr="0013313C">
              <w:rPr>
                <w:rFonts w:ascii="Verdana" w:hAnsi="Verdana"/>
                <w:sz w:val="18"/>
                <w:szCs w:val="18"/>
                <w:lang w:val="sr-Latn-RS"/>
              </w:rPr>
              <w:t>–</w:t>
            </w:r>
            <w:r w:rsidR="00DB09DC" w:rsidRPr="0013313C">
              <w:rPr>
                <w:rFonts w:ascii="Verdana" w:hAnsi="Verdana"/>
                <w:sz w:val="18"/>
                <w:szCs w:val="18"/>
                <w:lang w:val="sr-Latn-RS"/>
              </w:rPr>
              <w:t>3</w:t>
            </w:r>
            <w:r w:rsidR="00941A71" w:rsidRPr="0013313C">
              <w:rPr>
                <w:rFonts w:ascii="Verdana" w:hAnsi="Verdana"/>
                <w:sz w:val="18"/>
                <w:szCs w:val="18"/>
                <w:lang w:val="sr-Latn-RS"/>
              </w:rPr>
              <w:t>.</w:t>
            </w:r>
          </w:p>
        </w:tc>
        <w:tc>
          <w:tcPr>
            <w:tcW w:w="7395" w:type="dxa"/>
            <w:gridSpan w:val="2"/>
            <w:vAlign w:val="center"/>
          </w:tcPr>
          <w:p w14:paraId="36345B59" w14:textId="4F32FE58" w:rsidR="003630ED" w:rsidRPr="0013313C" w:rsidRDefault="008D17FB" w:rsidP="0013313C">
            <w:pPr>
              <w:tabs>
                <w:tab w:val="left" w:pos="426"/>
                <w:tab w:val="left" w:pos="851"/>
              </w:tabs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13313C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>Prvi slajdovi objašnjavaju strukturu i ciljeve ove sesije. Polaznicima će se pružiti prilika da postave prethodna pitanja koja eventualno imaju u vezi sa</w:t>
            </w:r>
            <w:r w:rsidR="004324E9" w:rsidRPr="0013313C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 xml:space="preserve"> </w:t>
            </w:r>
            <w:r w:rsidRPr="0013313C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 xml:space="preserve">strukturom i ciljevima sesije. </w:t>
            </w:r>
          </w:p>
        </w:tc>
      </w:tr>
      <w:tr w:rsidR="003406F3" w:rsidRPr="0013313C" w14:paraId="65F07CB5" w14:textId="77777777" w:rsidTr="00C9640B">
        <w:trPr>
          <w:trHeight w:val="1876"/>
        </w:trPr>
        <w:tc>
          <w:tcPr>
            <w:tcW w:w="1615" w:type="dxa"/>
            <w:vAlign w:val="center"/>
          </w:tcPr>
          <w:p w14:paraId="6F5AEB2D" w14:textId="72544D55" w:rsidR="00D82C18" w:rsidRPr="0013313C" w:rsidRDefault="00DB09DC" w:rsidP="0013313C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13313C">
              <w:rPr>
                <w:rFonts w:ascii="Verdana" w:hAnsi="Verdana"/>
                <w:sz w:val="18"/>
                <w:szCs w:val="18"/>
                <w:lang w:val="sr-Latn-RS"/>
              </w:rPr>
              <w:lastRenderedPageBreak/>
              <w:t>4</w:t>
            </w:r>
            <w:r w:rsidR="006C6605" w:rsidRPr="0013313C">
              <w:rPr>
                <w:rFonts w:ascii="Verdana" w:hAnsi="Verdana"/>
                <w:sz w:val="18"/>
                <w:szCs w:val="18"/>
                <w:lang w:val="sr-Latn-RS"/>
              </w:rPr>
              <w:t>–</w:t>
            </w:r>
            <w:r w:rsidR="00357C78" w:rsidRPr="0013313C">
              <w:rPr>
                <w:rFonts w:ascii="Verdana" w:hAnsi="Verdana"/>
                <w:sz w:val="18"/>
                <w:szCs w:val="18"/>
                <w:lang w:val="sr-Latn-RS"/>
              </w:rPr>
              <w:t>1</w:t>
            </w:r>
            <w:r w:rsidR="00F53802" w:rsidRPr="0013313C">
              <w:rPr>
                <w:rFonts w:ascii="Verdana" w:hAnsi="Verdana"/>
                <w:sz w:val="18"/>
                <w:szCs w:val="18"/>
                <w:lang w:val="sr-Latn-RS"/>
              </w:rPr>
              <w:t>1</w:t>
            </w:r>
            <w:r w:rsidR="00941A71" w:rsidRPr="0013313C">
              <w:rPr>
                <w:rFonts w:ascii="Verdana" w:hAnsi="Verdana"/>
                <w:sz w:val="18"/>
                <w:szCs w:val="18"/>
                <w:lang w:val="sr-Latn-RS"/>
              </w:rPr>
              <w:t>.</w:t>
            </w:r>
          </w:p>
        </w:tc>
        <w:tc>
          <w:tcPr>
            <w:tcW w:w="7395" w:type="dxa"/>
            <w:gridSpan w:val="2"/>
            <w:vAlign w:val="center"/>
          </w:tcPr>
          <w:p w14:paraId="6E5A2F3C" w14:textId="77777777" w:rsidR="008D17FB" w:rsidRPr="0013313C" w:rsidRDefault="008D17FB" w:rsidP="0013313C">
            <w:pPr>
              <w:pStyle w:val="Subtitle"/>
              <w:spacing w:before="120" w:line="260" w:lineRule="atLeast"/>
              <w:rPr>
                <w:rFonts w:ascii="Verdana" w:hAnsi="Verdana"/>
                <w:szCs w:val="18"/>
                <w:lang w:val="sr-Latn-RS"/>
              </w:rPr>
            </w:pPr>
            <w:r w:rsidRPr="0013313C">
              <w:rPr>
                <w:rFonts w:ascii="Verdana" w:hAnsi="Verdana"/>
                <w:szCs w:val="18"/>
                <w:lang w:val="sr-Latn-RS"/>
              </w:rPr>
              <w:t xml:space="preserve">Ovi slajdovi treba da upoznaju polaznike sa idejom o specijalizovanim organima za visokotehnološki kriminal, njihovim nadležnostima, ustrojstvom i načinom na koji treba da rade. </w:t>
            </w:r>
          </w:p>
          <w:p w14:paraId="757B2479" w14:textId="38506316" w:rsidR="008D17FB" w:rsidRPr="0013313C" w:rsidRDefault="008D17FB" w:rsidP="0013313C">
            <w:pPr>
              <w:pStyle w:val="Subtitle"/>
              <w:spacing w:before="120" w:line="260" w:lineRule="atLeast"/>
              <w:rPr>
                <w:rFonts w:ascii="Verdana" w:hAnsi="Verdana"/>
                <w:szCs w:val="18"/>
                <w:lang w:val="sr-Latn-RS"/>
              </w:rPr>
            </w:pPr>
            <w:r w:rsidRPr="0013313C">
              <w:rPr>
                <w:rFonts w:ascii="Verdana" w:hAnsi="Verdana"/>
                <w:szCs w:val="18"/>
                <w:lang w:val="sr-Latn-RS"/>
              </w:rPr>
              <w:t xml:space="preserve">U sve većem broju zemalja formiraju se ti organi ili se planira </w:t>
            </w:r>
            <w:r w:rsidR="0004624D" w:rsidRPr="0013313C">
              <w:rPr>
                <w:rFonts w:ascii="Verdana" w:hAnsi="Verdana"/>
                <w:szCs w:val="18"/>
                <w:lang w:val="sr-Latn-RS"/>
              </w:rPr>
              <w:t xml:space="preserve">da se oni </w:t>
            </w:r>
            <w:r w:rsidRPr="0013313C">
              <w:rPr>
                <w:rFonts w:ascii="Verdana" w:hAnsi="Verdana"/>
                <w:szCs w:val="18"/>
                <w:lang w:val="sr-Latn-RS"/>
              </w:rPr>
              <w:t>uv</w:t>
            </w:r>
            <w:r w:rsidR="0004624D" w:rsidRPr="0013313C">
              <w:rPr>
                <w:rFonts w:ascii="Verdana" w:hAnsi="Verdana"/>
                <w:szCs w:val="18"/>
                <w:lang w:val="sr-Latn-RS"/>
              </w:rPr>
              <w:t>edu</w:t>
            </w:r>
            <w:r w:rsidRPr="0013313C">
              <w:rPr>
                <w:rFonts w:ascii="Verdana" w:hAnsi="Verdana"/>
                <w:szCs w:val="18"/>
                <w:lang w:val="sr-Latn-RS"/>
              </w:rPr>
              <w:t xml:space="preserve"> u sistem suzbijanja kriminala. </w:t>
            </w:r>
          </w:p>
          <w:p w14:paraId="649FEA68" w14:textId="499BF6BC" w:rsidR="00F53802" w:rsidRPr="0013313C" w:rsidRDefault="008D17FB" w:rsidP="0013313C">
            <w:pPr>
              <w:pStyle w:val="Subtitle"/>
              <w:spacing w:before="120" w:line="260" w:lineRule="atLeast"/>
              <w:rPr>
                <w:rFonts w:ascii="Verdana" w:hAnsi="Verdana"/>
                <w:szCs w:val="18"/>
                <w:lang w:val="sr-Latn-RS"/>
              </w:rPr>
            </w:pPr>
            <w:r w:rsidRPr="0013313C">
              <w:rPr>
                <w:rFonts w:ascii="Verdana" w:hAnsi="Verdana"/>
                <w:szCs w:val="18"/>
                <w:lang w:val="sr-Latn-RS"/>
              </w:rPr>
              <w:t>Na slajdovima će biti naveden izvestan broj pitanja u vezi sa međunarodnom pravnom pomoći, tužilaštvom, sudom i drugima koji su uključeni u rad na predmetima iz oblasti visokotehnološkog kriminala</w:t>
            </w:r>
            <w:r w:rsidR="0004624D" w:rsidRPr="0013313C">
              <w:rPr>
                <w:rFonts w:ascii="Verdana" w:hAnsi="Verdana"/>
                <w:szCs w:val="18"/>
                <w:lang w:val="sr-Latn-RS"/>
              </w:rPr>
              <w:t xml:space="preserve">, a </w:t>
            </w:r>
            <w:r w:rsidRPr="0013313C">
              <w:rPr>
                <w:rFonts w:ascii="Verdana" w:hAnsi="Verdana"/>
                <w:szCs w:val="18"/>
                <w:lang w:val="sr-Latn-RS"/>
              </w:rPr>
              <w:t xml:space="preserve">eksperti bi trebalo aktivno da se angažuju u odgovaranju na sva </w:t>
            </w:r>
            <w:r w:rsidR="001812A1" w:rsidRPr="0013313C">
              <w:rPr>
                <w:rFonts w:ascii="Verdana" w:hAnsi="Verdana"/>
                <w:szCs w:val="18"/>
                <w:lang w:val="sr-Latn-RS"/>
              </w:rPr>
              <w:t xml:space="preserve">pitanja koja im </w:t>
            </w:r>
            <w:r w:rsidRPr="0013313C">
              <w:rPr>
                <w:rFonts w:ascii="Verdana" w:hAnsi="Verdana"/>
                <w:szCs w:val="18"/>
                <w:lang w:val="sr-Latn-RS"/>
              </w:rPr>
              <w:t>postave</w:t>
            </w:r>
            <w:r w:rsidR="001812A1" w:rsidRPr="0013313C">
              <w:rPr>
                <w:rFonts w:ascii="Verdana" w:hAnsi="Verdana"/>
                <w:szCs w:val="18"/>
                <w:lang w:val="sr-Latn-RS"/>
              </w:rPr>
              <w:t xml:space="preserve"> pol</w:t>
            </w:r>
            <w:r w:rsidRPr="0013313C">
              <w:rPr>
                <w:rFonts w:ascii="Verdana" w:hAnsi="Verdana"/>
                <w:szCs w:val="18"/>
                <w:lang w:val="sr-Latn-RS"/>
              </w:rPr>
              <w:t>a</w:t>
            </w:r>
            <w:r w:rsidR="001812A1" w:rsidRPr="0013313C">
              <w:rPr>
                <w:rFonts w:ascii="Verdana" w:hAnsi="Verdana"/>
                <w:szCs w:val="18"/>
                <w:lang w:val="sr-Latn-RS"/>
              </w:rPr>
              <w:t>znici</w:t>
            </w:r>
            <w:r w:rsidRPr="0013313C">
              <w:rPr>
                <w:rFonts w:ascii="Verdana" w:hAnsi="Verdana"/>
                <w:szCs w:val="18"/>
                <w:lang w:val="sr-Latn-RS"/>
              </w:rPr>
              <w:t xml:space="preserve">. </w:t>
            </w:r>
          </w:p>
        </w:tc>
      </w:tr>
      <w:tr w:rsidR="003406F3" w:rsidRPr="0013313C" w14:paraId="3236CF7B" w14:textId="77777777" w:rsidTr="001B428D">
        <w:trPr>
          <w:trHeight w:val="2015"/>
        </w:trPr>
        <w:tc>
          <w:tcPr>
            <w:tcW w:w="1615" w:type="dxa"/>
            <w:vAlign w:val="center"/>
          </w:tcPr>
          <w:p w14:paraId="63F93ACC" w14:textId="40306668" w:rsidR="00A00A58" w:rsidRPr="0013313C" w:rsidRDefault="00357C78" w:rsidP="0013313C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13313C">
              <w:rPr>
                <w:rFonts w:ascii="Verdana" w:hAnsi="Verdana"/>
                <w:sz w:val="18"/>
                <w:szCs w:val="18"/>
                <w:lang w:val="sr-Latn-RS"/>
              </w:rPr>
              <w:t>1</w:t>
            </w:r>
            <w:r w:rsidR="00F53802" w:rsidRPr="0013313C">
              <w:rPr>
                <w:rFonts w:ascii="Verdana" w:hAnsi="Verdana"/>
                <w:sz w:val="18"/>
                <w:szCs w:val="18"/>
                <w:lang w:val="sr-Latn-RS"/>
              </w:rPr>
              <w:t>2</w:t>
            </w:r>
            <w:r w:rsidR="006C6605" w:rsidRPr="0013313C">
              <w:rPr>
                <w:rFonts w:ascii="Verdana" w:hAnsi="Verdana"/>
                <w:sz w:val="18"/>
                <w:szCs w:val="18"/>
                <w:lang w:val="sr-Latn-RS"/>
              </w:rPr>
              <w:t>–</w:t>
            </w:r>
            <w:r w:rsidR="00DB09DC" w:rsidRPr="0013313C">
              <w:rPr>
                <w:rFonts w:ascii="Verdana" w:hAnsi="Verdana"/>
                <w:sz w:val="18"/>
                <w:szCs w:val="18"/>
                <w:lang w:val="sr-Latn-RS"/>
              </w:rPr>
              <w:t>2</w:t>
            </w:r>
            <w:r w:rsidR="00F53802" w:rsidRPr="0013313C">
              <w:rPr>
                <w:rFonts w:ascii="Verdana" w:hAnsi="Verdana"/>
                <w:sz w:val="18"/>
                <w:szCs w:val="18"/>
                <w:lang w:val="sr-Latn-RS"/>
              </w:rPr>
              <w:t>0</w:t>
            </w:r>
            <w:r w:rsidR="00941A71" w:rsidRPr="0013313C">
              <w:rPr>
                <w:rFonts w:ascii="Verdana" w:hAnsi="Verdana"/>
                <w:sz w:val="18"/>
                <w:szCs w:val="18"/>
                <w:lang w:val="sr-Latn-RS"/>
              </w:rPr>
              <w:t>.</w:t>
            </w:r>
          </w:p>
        </w:tc>
        <w:tc>
          <w:tcPr>
            <w:tcW w:w="7395" w:type="dxa"/>
            <w:gridSpan w:val="2"/>
            <w:vAlign w:val="center"/>
          </w:tcPr>
          <w:p w14:paraId="14281CA4" w14:textId="57A2FCB8" w:rsidR="008D17FB" w:rsidRPr="0013313C" w:rsidRDefault="008D17FB" w:rsidP="0013313C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13313C">
              <w:rPr>
                <w:rFonts w:ascii="Verdana" w:hAnsi="Verdana"/>
                <w:sz w:val="18"/>
                <w:szCs w:val="18"/>
                <w:lang w:val="sr-Latn-RS"/>
              </w:rPr>
              <w:t>Na tim slajdovima predstavljena su „pravila</w:t>
            </w:r>
            <w:r w:rsidR="0004624D" w:rsidRPr="0013313C">
              <w:rPr>
                <w:rFonts w:ascii="Verdana" w:hAnsi="Verdana"/>
                <w:sz w:val="18"/>
                <w:szCs w:val="18"/>
                <w:lang w:val="sr-Latn-RS"/>
              </w:rPr>
              <w:t>”</w:t>
            </w:r>
            <w:r w:rsidRPr="0013313C">
              <w:rPr>
                <w:rFonts w:ascii="Verdana" w:hAnsi="Verdana"/>
                <w:sz w:val="18"/>
                <w:szCs w:val="18"/>
                <w:lang w:val="sr-Latn-RS"/>
              </w:rPr>
              <w:t xml:space="preserve"> u vezi s pojmovima karakterističnim za istragu visokotehnološkog kriminala. To nisu formalna pravila, već bi se pre moglo reći da predstavljaju rezultat iskustva stečenog u praksi kroz istrage vezane za visokotehnološki kriminal. </w:t>
            </w:r>
          </w:p>
          <w:p w14:paraId="3B7E84AD" w14:textId="16A8CF70" w:rsidR="00F53802" w:rsidRPr="0013313C" w:rsidRDefault="008D17FB" w:rsidP="0013313C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13313C">
              <w:rPr>
                <w:rFonts w:ascii="Verdana" w:hAnsi="Verdana"/>
                <w:sz w:val="18"/>
                <w:szCs w:val="18"/>
                <w:lang w:val="sr-Latn-RS"/>
              </w:rPr>
              <w:t>Međutim, mada se na prvi pogled može učiniti da su neka od tih „pravila“ očigledn</w:t>
            </w:r>
            <w:r w:rsidR="00041554" w:rsidRPr="0013313C">
              <w:rPr>
                <w:rFonts w:ascii="Verdana" w:hAnsi="Verdana"/>
                <w:sz w:val="18"/>
                <w:szCs w:val="18"/>
                <w:lang w:val="sr-Latn-RS"/>
              </w:rPr>
              <w:t>a</w:t>
            </w:r>
            <w:r w:rsidRPr="0013313C">
              <w:rPr>
                <w:rFonts w:ascii="Verdana" w:hAnsi="Verdana"/>
                <w:sz w:val="18"/>
                <w:szCs w:val="18"/>
                <w:lang w:val="sr-Latn-RS"/>
              </w:rPr>
              <w:t xml:space="preserve"> i da </w:t>
            </w:r>
            <w:r w:rsidR="00041554" w:rsidRPr="0013313C">
              <w:rPr>
                <w:rFonts w:ascii="Verdana" w:hAnsi="Verdana"/>
                <w:sz w:val="18"/>
                <w:szCs w:val="18"/>
                <w:lang w:val="sr-Latn-RS"/>
              </w:rPr>
              <w:t xml:space="preserve">opisuju procedure koje već postoje u praksi, nije sve tako jednostavno. Naime, u jednom broju zemalja postoji pravni okvir na opštem nivou, </w:t>
            </w:r>
            <w:r w:rsidR="0004624D" w:rsidRPr="0013313C">
              <w:rPr>
                <w:rFonts w:ascii="Verdana" w:hAnsi="Verdana"/>
                <w:sz w:val="18"/>
                <w:szCs w:val="18"/>
                <w:lang w:val="sr-Latn-RS"/>
              </w:rPr>
              <w:t xml:space="preserve">ali u njima </w:t>
            </w:r>
            <w:r w:rsidR="00041554" w:rsidRPr="0013313C">
              <w:rPr>
                <w:rFonts w:ascii="Verdana" w:hAnsi="Verdana"/>
                <w:sz w:val="18"/>
                <w:szCs w:val="18"/>
                <w:lang w:val="sr-Latn-RS"/>
              </w:rPr>
              <w:t>još nema sporazuma na nižem nivou ili podzakonskih akata kojima treba preciznije utvrditi procedure saradnje</w:t>
            </w:r>
            <w:r w:rsidR="0004624D" w:rsidRPr="0013313C">
              <w:rPr>
                <w:rFonts w:ascii="Verdana" w:hAnsi="Verdana"/>
                <w:sz w:val="18"/>
                <w:szCs w:val="18"/>
                <w:lang w:val="sr-Latn-RS"/>
              </w:rPr>
              <w:t xml:space="preserve">, niti ima </w:t>
            </w:r>
            <w:r w:rsidR="00041554" w:rsidRPr="0013313C">
              <w:rPr>
                <w:rFonts w:ascii="Verdana" w:hAnsi="Verdana"/>
                <w:sz w:val="18"/>
                <w:szCs w:val="18"/>
                <w:lang w:val="sr-Latn-RS"/>
              </w:rPr>
              <w:t>sam</w:t>
            </w:r>
            <w:r w:rsidR="0004624D" w:rsidRPr="0013313C">
              <w:rPr>
                <w:rFonts w:ascii="Verdana" w:hAnsi="Verdana"/>
                <w:sz w:val="18"/>
                <w:szCs w:val="18"/>
                <w:lang w:val="sr-Latn-RS"/>
              </w:rPr>
              <w:t>e</w:t>
            </w:r>
            <w:r w:rsidR="00041554" w:rsidRPr="0013313C">
              <w:rPr>
                <w:rFonts w:ascii="Verdana" w:hAnsi="Verdana"/>
                <w:sz w:val="18"/>
                <w:szCs w:val="18"/>
                <w:lang w:val="sr-Latn-RS"/>
              </w:rPr>
              <w:t xml:space="preserve"> t</w:t>
            </w:r>
            <w:r w:rsidR="0004624D" w:rsidRPr="0013313C">
              <w:rPr>
                <w:rFonts w:ascii="Verdana" w:hAnsi="Verdana"/>
                <w:sz w:val="18"/>
                <w:szCs w:val="18"/>
                <w:lang w:val="sr-Latn-RS"/>
              </w:rPr>
              <w:t>e</w:t>
            </w:r>
            <w:r w:rsidR="00041554" w:rsidRPr="0013313C">
              <w:rPr>
                <w:rFonts w:ascii="Verdana" w:hAnsi="Verdana"/>
                <w:sz w:val="18"/>
                <w:szCs w:val="18"/>
                <w:lang w:val="sr-Latn-RS"/>
              </w:rPr>
              <w:t xml:space="preserve"> saradnj</w:t>
            </w:r>
            <w:r w:rsidR="0004624D" w:rsidRPr="0013313C">
              <w:rPr>
                <w:rFonts w:ascii="Verdana" w:hAnsi="Verdana"/>
                <w:sz w:val="18"/>
                <w:szCs w:val="18"/>
                <w:lang w:val="sr-Latn-RS"/>
              </w:rPr>
              <w:t>e</w:t>
            </w:r>
            <w:r w:rsidR="00041554" w:rsidRPr="0013313C">
              <w:rPr>
                <w:rFonts w:ascii="Verdana" w:hAnsi="Verdana"/>
                <w:sz w:val="18"/>
                <w:szCs w:val="18"/>
                <w:lang w:val="sr-Latn-RS"/>
              </w:rPr>
              <w:t xml:space="preserve">. </w:t>
            </w:r>
          </w:p>
          <w:p w14:paraId="028F3756" w14:textId="1056D088" w:rsidR="00041554" w:rsidRPr="0013313C" w:rsidRDefault="00041554" w:rsidP="0013313C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13313C">
              <w:rPr>
                <w:rFonts w:ascii="Verdana" w:hAnsi="Verdana"/>
                <w:sz w:val="18"/>
                <w:szCs w:val="18"/>
                <w:lang w:val="sr-Latn-RS"/>
              </w:rPr>
              <w:t xml:space="preserve">Često organi vlasti ostaju u isključivim okvirima svoje nadležnosti i ne komuniciraju neposredno i brzo s drugima. Takva vrsta ponašanja vodi u sporu komunikaciju i razmenu dokaza i činjenica, pa samim tim postoji mogućnost </w:t>
            </w:r>
            <w:r w:rsidR="00707528" w:rsidRPr="0013313C">
              <w:rPr>
                <w:rFonts w:ascii="Verdana" w:hAnsi="Verdana"/>
                <w:sz w:val="18"/>
                <w:szCs w:val="18"/>
                <w:lang w:val="sr-Latn-RS"/>
              </w:rPr>
              <w:t xml:space="preserve">da se </w:t>
            </w:r>
            <w:r w:rsidRPr="0013313C">
              <w:rPr>
                <w:rFonts w:ascii="Verdana" w:hAnsi="Verdana"/>
                <w:sz w:val="18"/>
                <w:szCs w:val="18"/>
                <w:lang w:val="sr-Latn-RS"/>
              </w:rPr>
              <w:t>dokazn</w:t>
            </w:r>
            <w:r w:rsidR="00707528" w:rsidRPr="0013313C">
              <w:rPr>
                <w:rFonts w:ascii="Verdana" w:hAnsi="Verdana"/>
                <w:sz w:val="18"/>
                <w:szCs w:val="18"/>
                <w:lang w:val="sr-Latn-RS"/>
              </w:rPr>
              <w:t>i</w:t>
            </w:r>
            <w:r w:rsidRPr="0013313C">
              <w:rPr>
                <w:rFonts w:ascii="Verdana" w:hAnsi="Verdana"/>
                <w:sz w:val="18"/>
                <w:szCs w:val="18"/>
                <w:lang w:val="sr-Latn-RS"/>
              </w:rPr>
              <w:t xml:space="preserve"> materijal</w:t>
            </w:r>
            <w:r w:rsidR="00707528" w:rsidRPr="0013313C">
              <w:rPr>
                <w:rFonts w:ascii="Verdana" w:hAnsi="Verdana"/>
                <w:sz w:val="18"/>
                <w:szCs w:val="18"/>
                <w:lang w:val="sr-Latn-RS"/>
              </w:rPr>
              <w:t xml:space="preserve"> izgubi</w:t>
            </w:r>
            <w:r w:rsidRPr="0013313C">
              <w:rPr>
                <w:rFonts w:ascii="Verdana" w:hAnsi="Verdana"/>
                <w:sz w:val="18"/>
                <w:szCs w:val="18"/>
                <w:lang w:val="sr-Latn-RS"/>
              </w:rPr>
              <w:t xml:space="preserve">. </w:t>
            </w:r>
          </w:p>
          <w:p w14:paraId="6B518A62" w14:textId="290F416F" w:rsidR="00F53802" w:rsidRPr="0013313C" w:rsidRDefault="00041554" w:rsidP="0013313C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13313C">
              <w:rPr>
                <w:rFonts w:ascii="Verdana" w:hAnsi="Verdana"/>
                <w:sz w:val="18"/>
                <w:szCs w:val="18"/>
                <w:lang w:val="sr-Latn-RS"/>
              </w:rPr>
              <w:t xml:space="preserve">Isto tako, na slajdovima su izneti spiskovi radnji koje organi reda </w:t>
            </w:r>
            <w:r w:rsidR="00707528" w:rsidRPr="0013313C">
              <w:rPr>
                <w:rFonts w:ascii="Verdana" w:hAnsi="Verdana"/>
                <w:sz w:val="18"/>
                <w:szCs w:val="18"/>
                <w:lang w:val="sr-Latn-RS"/>
              </w:rPr>
              <w:t>moraju</w:t>
            </w:r>
            <w:r w:rsidRPr="0013313C">
              <w:rPr>
                <w:rFonts w:ascii="Verdana" w:hAnsi="Verdana"/>
                <w:sz w:val="18"/>
                <w:szCs w:val="18"/>
                <w:lang w:val="sr-Latn-RS"/>
              </w:rPr>
              <w:t xml:space="preserve"> da preduzmu i </w:t>
            </w:r>
            <w:r w:rsidR="00707528" w:rsidRPr="0013313C">
              <w:rPr>
                <w:rFonts w:ascii="Verdana" w:hAnsi="Verdana"/>
                <w:sz w:val="18"/>
                <w:szCs w:val="18"/>
                <w:lang w:val="sr-Latn-RS"/>
              </w:rPr>
              <w:t xml:space="preserve">koje </w:t>
            </w:r>
            <w:r w:rsidRPr="0013313C">
              <w:rPr>
                <w:rFonts w:ascii="Verdana" w:hAnsi="Verdana"/>
                <w:sz w:val="18"/>
                <w:szCs w:val="18"/>
                <w:lang w:val="sr-Latn-RS"/>
              </w:rPr>
              <w:t>preduzimaju tokom istrage visokotehnološkog kriminala, onih radnji koje treba da preduzme javno tužilaštvo (bez obzira na to kakav je sistem, javno tužilaštvo je uvek na ovaj ili onaj način uključen</w:t>
            </w:r>
            <w:r w:rsidR="00455F04" w:rsidRPr="0013313C">
              <w:rPr>
                <w:rFonts w:ascii="Verdana" w:hAnsi="Verdana"/>
                <w:sz w:val="18"/>
                <w:szCs w:val="18"/>
                <w:lang w:val="sr-Latn-RS"/>
              </w:rPr>
              <w:t>o</w:t>
            </w:r>
            <w:r w:rsidRPr="0013313C">
              <w:rPr>
                <w:rFonts w:ascii="Verdana" w:hAnsi="Verdana"/>
                <w:sz w:val="18"/>
                <w:szCs w:val="18"/>
                <w:lang w:val="sr-Latn-RS"/>
              </w:rPr>
              <w:t xml:space="preserve"> u rad na krivičnim predmetima, od </w:t>
            </w:r>
            <w:r w:rsidR="00900B96" w:rsidRPr="0013313C">
              <w:rPr>
                <w:rFonts w:ascii="Verdana" w:hAnsi="Verdana"/>
                <w:sz w:val="18"/>
                <w:szCs w:val="18"/>
                <w:lang w:val="sr-Latn-RS"/>
              </w:rPr>
              <w:t>organa reda</w:t>
            </w:r>
            <w:r w:rsidRPr="0013313C">
              <w:rPr>
                <w:rFonts w:ascii="Verdana" w:hAnsi="Verdana"/>
                <w:sz w:val="18"/>
                <w:szCs w:val="18"/>
                <w:lang w:val="sr-Latn-RS"/>
              </w:rPr>
              <w:t xml:space="preserve"> do suda)</w:t>
            </w:r>
            <w:r w:rsidR="00455F04" w:rsidRPr="0013313C">
              <w:rPr>
                <w:rFonts w:ascii="Verdana" w:hAnsi="Verdana"/>
                <w:sz w:val="18"/>
                <w:szCs w:val="18"/>
                <w:lang w:val="sr-Latn-RS"/>
              </w:rPr>
              <w:t>; ukazuje se takođe</w:t>
            </w:r>
            <w:r w:rsidRPr="0013313C">
              <w:rPr>
                <w:rFonts w:ascii="Verdana" w:hAnsi="Verdana"/>
                <w:sz w:val="18"/>
                <w:szCs w:val="18"/>
                <w:lang w:val="sr-Latn-RS"/>
              </w:rPr>
              <w:t xml:space="preserve"> </w:t>
            </w:r>
            <w:r w:rsidR="00455F04" w:rsidRPr="0013313C">
              <w:rPr>
                <w:rFonts w:ascii="Verdana" w:hAnsi="Verdana"/>
                <w:sz w:val="18"/>
                <w:szCs w:val="18"/>
                <w:lang w:val="sr-Latn-RS"/>
              </w:rPr>
              <w:t xml:space="preserve">na </w:t>
            </w:r>
            <w:r w:rsidRPr="0013313C">
              <w:rPr>
                <w:rFonts w:ascii="Verdana" w:hAnsi="Verdana"/>
                <w:sz w:val="18"/>
                <w:szCs w:val="18"/>
                <w:lang w:val="sr-Latn-RS"/>
              </w:rPr>
              <w:t>ulogu sudija i tužilaca, razlike između precedentnog i kontinentalnog</w:t>
            </w:r>
            <w:r w:rsidR="00707528" w:rsidRPr="0013313C">
              <w:rPr>
                <w:rFonts w:ascii="Verdana" w:hAnsi="Verdana"/>
                <w:sz w:val="18"/>
                <w:szCs w:val="18"/>
                <w:lang w:val="sr-Latn-RS"/>
              </w:rPr>
              <w:t>,</w:t>
            </w:r>
            <w:r w:rsidRPr="0013313C">
              <w:rPr>
                <w:rFonts w:ascii="Verdana" w:hAnsi="Verdana"/>
                <w:sz w:val="18"/>
                <w:szCs w:val="18"/>
                <w:lang w:val="sr-Latn-RS"/>
              </w:rPr>
              <w:t xml:space="preserve"> prava kao i </w:t>
            </w:r>
            <w:r w:rsidR="00707528" w:rsidRPr="0013313C">
              <w:rPr>
                <w:rFonts w:ascii="Verdana" w:hAnsi="Verdana"/>
                <w:sz w:val="18"/>
                <w:szCs w:val="18"/>
                <w:lang w:val="sr-Latn-RS"/>
              </w:rPr>
              <w:t xml:space="preserve">na </w:t>
            </w:r>
            <w:r w:rsidRPr="0013313C">
              <w:rPr>
                <w:rFonts w:ascii="Verdana" w:hAnsi="Verdana"/>
                <w:sz w:val="18"/>
                <w:szCs w:val="18"/>
                <w:lang w:val="sr-Latn-RS"/>
              </w:rPr>
              <w:t>u</w:t>
            </w:r>
            <w:r w:rsidR="001812A1" w:rsidRPr="0013313C">
              <w:rPr>
                <w:rFonts w:ascii="Verdana" w:hAnsi="Verdana"/>
                <w:sz w:val="18"/>
                <w:szCs w:val="18"/>
                <w:lang w:val="sr-Latn-RS"/>
              </w:rPr>
              <w:t>češće</w:t>
            </w:r>
            <w:r w:rsidRPr="0013313C">
              <w:rPr>
                <w:rFonts w:ascii="Verdana" w:hAnsi="Verdana"/>
                <w:sz w:val="18"/>
                <w:szCs w:val="18"/>
                <w:lang w:val="sr-Latn-RS"/>
              </w:rPr>
              <w:t xml:space="preserve"> drugih organa vlasti u istragama visokotehnološkog kriminala. </w:t>
            </w:r>
          </w:p>
        </w:tc>
      </w:tr>
      <w:tr w:rsidR="003406F3" w:rsidRPr="0013313C" w14:paraId="5AA3C4AD" w14:textId="77777777" w:rsidTr="0013313C">
        <w:trPr>
          <w:trHeight w:val="2780"/>
        </w:trPr>
        <w:tc>
          <w:tcPr>
            <w:tcW w:w="1615" w:type="dxa"/>
            <w:vAlign w:val="center"/>
          </w:tcPr>
          <w:p w14:paraId="07F9F799" w14:textId="575A0DE9" w:rsidR="00A00A58" w:rsidRPr="0013313C" w:rsidRDefault="00DB09DC" w:rsidP="0013313C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13313C">
              <w:rPr>
                <w:rFonts w:ascii="Verdana" w:hAnsi="Verdana"/>
                <w:sz w:val="18"/>
                <w:szCs w:val="18"/>
                <w:lang w:val="sr-Latn-RS"/>
              </w:rPr>
              <w:t>2</w:t>
            </w:r>
            <w:r w:rsidR="00F53802" w:rsidRPr="0013313C">
              <w:rPr>
                <w:rFonts w:ascii="Verdana" w:hAnsi="Verdana"/>
                <w:sz w:val="18"/>
                <w:szCs w:val="18"/>
                <w:lang w:val="sr-Latn-RS"/>
              </w:rPr>
              <w:t>1</w:t>
            </w:r>
            <w:r w:rsidR="006C6605" w:rsidRPr="0013313C">
              <w:rPr>
                <w:rFonts w:ascii="Verdana" w:hAnsi="Verdana"/>
                <w:sz w:val="18"/>
                <w:szCs w:val="18"/>
                <w:lang w:val="sr-Latn-RS"/>
              </w:rPr>
              <w:t>–</w:t>
            </w:r>
            <w:r w:rsidR="00F53802" w:rsidRPr="0013313C">
              <w:rPr>
                <w:rFonts w:ascii="Verdana" w:hAnsi="Verdana"/>
                <w:sz w:val="18"/>
                <w:szCs w:val="18"/>
                <w:lang w:val="sr-Latn-RS"/>
              </w:rPr>
              <w:t>28</w:t>
            </w:r>
            <w:r w:rsidR="00941A71" w:rsidRPr="0013313C">
              <w:rPr>
                <w:rFonts w:ascii="Verdana" w:hAnsi="Verdana"/>
                <w:sz w:val="18"/>
                <w:szCs w:val="18"/>
                <w:lang w:val="sr-Latn-RS"/>
              </w:rPr>
              <w:t>.</w:t>
            </w:r>
          </w:p>
        </w:tc>
        <w:tc>
          <w:tcPr>
            <w:tcW w:w="7395" w:type="dxa"/>
            <w:gridSpan w:val="2"/>
            <w:vAlign w:val="center"/>
          </w:tcPr>
          <w:p w14:paraId="2D3A50AC" w14:textId="34D47F0F" w:rsidR="003C5C8D" w:rsidRPr="0013313C" w:rsidRDefault="003C5C8D" w:rsidP="0013313C">
            <w:pPr>
              <w:pStyle w:val="Subtitle"/>
              <w:spacing w:beforeLines="20" w:before="48" w:afterLines="120" w:after="288" w:line="260" w:lineRule="atLeast"/>
              <w:rPr>
                <w:rFonts w:ascii="Verdana" w:eastAsia="Times New Roman" w:hAnsi="Verdana"/>
                <w:color w:val="auto"/>
                <w:szCs w:val="18"/>
                <w:lang w:val="sr-Latn-RS"/>
              </w:rPr>
            </w:pPr>
            <w:r w:rsidRPr="0013313C">
              <w:rPr>
                <w:rFonts w:ascii="Verdana" w:eastAsia="Times New Roman" w:hAnsi="Verdana"/>
                <w:color w:val="auto"/>
                <w:szCs w:val="18"/>
                <w:lang w:val="sr-Latn-RS"/>
              </w:rPr>
              <w:t>Na tim slajdovima je predstavljeno jedno od najuspešnijih međunarodnih iskustava u</w:t>
            </w:r>
            <w:r w:rsidR="004324E9" w:rsidRPr="0013313C">
              <w:rPr>
                <w:rFonts w:ascii="Verdana" w:eastAsia="Times New Roman" w:hAnsi="Verdana"/>
                <w:color w:val="auto"/>
                <w:szCs w:val="18"/>
                <w:lang w:val="sr-Latn-RS"/>
              </w:rPr>
              <w:t xml:space="preserve"> </w:t>
            </w:r>
            <w:r w:rsidRPr="0013313C">
              <w:rPr>
                <w:rFonts w:ascii="Verdana" w:eastAsia="Times New Roman" w:hAnsi="Verdana"/>
                <w:color w:val="auto"/>
                <w:szCs w:val="18"/>
                <w:lang w:val="sr-Latn-RS"/>
              </w:rPr>
              <w:t xml:space="preserve">suzbijanju visokotehnološkog kriminala. </w:t>
            </w:r>
          </w:p>
          <w:p w14:paraId="0C17736E" w14:textId="489A4EF0" w:rsidR="003C5C8D" w:rsidRPr="0013313C" w:rsidRDefault="003C5C8D" w:rsidP="0013313C">
            <w:pPr>
              <w:pStyle w:val="Subtitle"/>
              <w:spacing w:beforeLines="20" w:before="48" w:afterLines="120" w:after="288" w:line="260" w:lineRule="atLeast"/>
              <w:rPr>
                <w:rFonts w:ascii="Verdana" w:eastAsia="Times New Roman" w:hAnsi="Verdana"/>
                <w:szCs w:val="18"/>
                <w:lang w:val="sr-Latn-RS"/>
              </w:rPr>
            </w:pPr>
            <w:r w:rsidRPr="0013313C">
              <w:rPr>
                <w:rFonts w:ascii="Verdana" w:eastAsia="Times New Roman" w:hAnsi="Verdana"/>
                <w:szCs w:val="18"/>
                <w:lang w:val="sr-Latn-RS"/>
              </w:rPr>
              <w:t xml:space="preserve">Republika Srbija od </w:t>
            </w:r>
            <w:r w:rsidR="00F53802" w:rsidRPr="0013313C">
              <w:rPr>
                <w:rFonts w:ascii="Verdana" w:eastAsia="Times New Roman" w:hAnsi="Verdana"/>
                <w:szCs w:val="18"/>
                <w:lang w:val="sr-Latn-RS"/>
              </w:rPr>
              <w:t>2005</w:t>
            </w:r>
            <w:r w:rsidRPr="0013313C">
              <w:rPr>
                <w:rFonts w:ascii="Verdana" w:eastAsia="Times New Roman" w:hAnsi="Verdana"/>
                <w:szCs w:val="18"/>
                <w:lang w:val="sr-Latn-RS"/>
              </w:rPr>
              <w:t xml:space="preserve">. razvija pravni okvir za borbu protiv visokotehnološkog kriminala i taj pravni okvir obuhvata materijalne, procesne i organizacione pravne norme. Od 2005. godine </w:t>
            </w:r>
            <w:r w:rsidR="00707528" w:rsidRPr="0013313C">
              <w:rPr>
                <w:rFonts w:ascii="Verdana" w:eastAsia="Times New Roman" w:hAnsi="Verdana"/>
                <w:szCs w:val="18"/>
                <w:lang w:val="sr-Latn-RS"/>
              </w:rPr>
              <w:t xml:space="preserve">Republika </w:t>
            </w:r>
            <w:r w:rsidRPr="0013313C">
              <w:rPr>
                <w:rFonts w:ascii="Verdana" w:eastAsia="Times New Roman" w:hAnsi="Verdana"/>
                <w:szCs w:val="18"/>
                <w:lang w:val="sr-Latn-RS"/>
              </w:rPr>
              <w:t>Srbija je jedna od retkih zemalja koja ima visokospecijalizovane organe u ovoj</w:t>
            </w:r>
            <w:r w:rsidR="004324E9" w:rsidRPr="0013313C">
              <w:rPr>
                <w:rFonts w:ascii="Verdana" w:eastAsia="Times New Roman" w:hAnsi="Verdana"/>
                <w:szCs w:val="18"/>
                <w:lang w:val="sr-Latn-RS"/>
              </w:rPr>
              <w:t xml:space="preserve"> </w:t>
            </w:r>
            <w:r w:rsidRPr="0013313C">
              <w:rPr>
                <w:rFonts w:ascii="Verdana" w:eastAsia="Times New Roman" w:hAnsi="Verdana"/>
                <w:szCs w:val="18"/>
                <w:lang w:val="sr-Latn-RS"/>
              </w:rPr>
              <w:t xml:space="preserve">oblasti, uključujući policiju, tužilaštvo i sud. </w:t>
            </w:r>
          </w:p>
          <w:p w14:paraId="1B9C6A39" w14:textId="46EEABC4" w:rsidR="003406F3" w:rsidRPr="0013313C" w:rsidRDefault="003C5C8D" w:rsidP="0013313C">
            <w:pPr>
              <w:pStyle w:val="Subtitle"/>
              <w:spacing w:beforeLines="20" w:before="48" w:afterLines="120" w:after="288" w:line="260" w:lineRule="atLeast"/>
              <w:rPr>
                <w:rFonts w:ascii="Verdana" w:eastAsia="Times New Roman" w:hAnsi="Verdana"/>
                <w:szCs w:val="18"/>
                <w:lang w:val="sr-Latn-RS"/>
              </w:rPr>
            </w:pPr>
            <w:r w:rsidRPr="0013313C">
              <w:rPr>
                <w:rFonts w:ascii="Verdana" w:eastAsia="Times New Roman" w:hAnsi="Verdana"/>
                <w:szCs w:val="18"/>
                <w:lang w:val="sr-Latn-RS"/>
              </w:rPr>
              <w:t>Međutim, prema potrebi, ekspert može da pronađe i predstavi i druge primere</w:t>
            </w:r>
            <w:r w:rsidR="00F53802" w:rsidRPr="0013313C">
              <w:rPr>
                <w:rFonts w:ascii="Verdana" w:eastAsia="Times New Roman" w:hAnsi="Verdana"/>
                <w:szCs w:val="18"/>
                <w:lang w:val="sr-Latn-RS"/>
              </w:rPr>
              <w:t>.</w:t>
            </w:r>
          </w:p>
        </w:tc>
      </w:tr>
      <w:tr w:rsidR="00DB09DC" w:rsidRPr="0013313C" w14:paraId="29253992" w14:textId="77777777" w:rsidTr="0013313C">
        <w:trPr>
          <w:trHeight w:val="404"/>
        </w:trPr>
        <w:tc>
          <w:tcPr>
            <w:tcW w:w="1615" w:type="dxa"/>
            <w:vAlign w:val="center"/>
          </w:tcPr>
          <w:p w14:paraId="7CB27A05" w14:textId="62D32347" w:rsidR="00DB09DC" w:rsidRPr="0013313C" w:rsidRDefault="00F53802" w:rsidP="0013313C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13313C">
              <w:rPr>
                <w:rFonts w:ascii="Verdana" w:hAnsi="Verdana"/>
                <w:sz w:val="18"/>
                <w:szCs w:val="18"/>
                <w:lang w:val="sr-Latn-RS"/>
              </w:rPr>
              <w:t>29</w:t>
            </w:r>
            <w:r w:rsidR="006C6605" w:rsidRPr="0013313C">
              <w:rPr>
                <w:rFonts w:ascii="Verdana" w:hAnsi="Verdana"/>
                <w:sz w:val="18"/>
                <w:szCs w:val="18"/>
                <w:lang w:val="sr-Latn-RS"/>
              </w:rPr>
              <w:t>–</w:t>
            </w:r>
            <w:r w:rsidRPr="0013313C">
              <w:rPr>
                <w:rFonts w:ascii="Verdana" w:hAnsi="Verdana"/>
                <w:sz w:val="18"/>
                <w:szCs w:val="18"/>
                <w:lang w:val="sr-Latn-RS"/>
              </w:rPr>
              <w:t>3</w:t>
            </w:r>
            <w:r w:rsidR="008D7196" w:rsidRPr="0013313C">
              <w:rPr>
                <w:rFonts w:ascii="Verdana" w:hAnsi="Verdana"/>
                <w:sz w:val="18"/>
                <w:szCs w:val="18"/>
                <w:lang w:val="sr-Latn-RS"/>
              </w:rPr>
              <w:t>1</w:t>
            </w:r>
            <w:r w:rsidRPr="0013313C">
              <w:rPr>
                <w:rFonts w:ascii="Verdana" w:hAnsi="Verdana"/>
                <w:sz w:val="18"/>
                <w:szCs w:val="18"/>
                <w:lang w:val="sr-Latn-RS"/>
              </w:rPr>
              <w:t>+</w:t>
            </w:r>
          </w:p>
        </w:tc>
        <w:tc>
          <w:tcPr>
            <w:tcW w:w="7395" w:type="dxa"/>
            <w:gridSpan w:val="2"/>
            <w:vAlign w:val="center"/>
          </w:tcPr>
          <w:p w14:paraId="660000A2" w14:textId="67A2C074" w:rsidR="00DB09DC" w:rsidRPr="0013313C" w:rsidRDefault="003C5C8D" w:rsidP="0013313C">
            <w:pPr>
              <w:pStyle w:val="Subtitle"/>
              <w:spacing w:beforeLines="20" w:before="48" w:afterLines="120" w:after="288" w:line="260" w:lineRule="atLeast"/>
              <w:rPr>
                <w:rFonts w:ascii="Verdana" w:eastAsia="Times New Roman" w:hAnsi="Verdana"/>
                <w:color w:val="auto"/>
                <w:szCs w:val="18"/>
                <w:lang w:val="sr-Latn-RS"/>
              </w:rPr>
            </w:pPr>
            <w:r w:rsidRPr="0013313C">
              <w:rPr>
                <w:rFonts w:ascii="Verdana" w:eastAsia="Times New Roman" w:hAnsi="Verdana"/>
                <w:color w:val="auto"/>
                <w:szCs w:val="18"/>
                <w:lang w:val="sr-Latn-RS"/>
              </w:rPr>
              <w:t>Ti slajdovi treba da prezentiraju lokalne primere</w:t>
            </w:r>
            <w:r w:rsidR="00707528" w:rsidRPr="0013313C">
              <w:rPr>
                <w:rFonts w:ascii="Verdana" w:eastAsia="Times New Roman" w:hAnsi="Verdana"/>
                <w:color w:val="auto"/>
                <w:szCs w:val="18"/>
                <w:lang w:val="sr-Latn-RS"/>
              </w:rPr>
              <w:t>.</w:t>
            </w:r>
          </w:p>
        </w:tc>
      </w:tr>
      <w:tr w:rsidR="003406F3" w:rsidRPr="0013313C" w14:paraId="07D9F9A7" w14:textId="77777777" w:rsidTr="00FC677E">
        <w:trPr>
          <w:trHeight w:val="1340"/>
        </w:trPr>
        <w:tc>
          <w:tcPr>
            <w:tcW w:w="1615" w:type="dxa"/>
            <w:vAlign w:val="center"/>
          </w:tcPr>
          <w:p w14:paraId="0F0112E8" w14:textId="58FD4FAE" w:rsidR="00A00A58" w:rsidRPr="0013313C" w:rsidRDefault="008D7196" w:rsidP="0013313C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13313C">
              <w:rPr>
                <w:rFonts w:ascii="Verdana" w:hAnsi="Verdana"/>
                <w:sz w:val="18"/>
                <w:szCs w:val="18"/>
                <w:lang w:val="sr-Latn-RS"/>
              </w:rPr>
              <w:t>31</w:t>
            </w:r>
            <w:r w:rsidR="006C6605" w:rsidRPr="0013313C">
              <w:rPr>
                <w:rFonts w:ascii="Verdana" w:hAnsi="Verdana"/>
                <w:sz w:val="18"/>
                <w:szCs w:val="18"/>
                <w:lang w:val="sr-Latn-RS"/>
              </w:rPr>
              <w:t>–</w:t>
            </w:r>
            <w:r w:rsidRPr="0013313C">
              <w:rPr>
                <w:rFonts w:ascii="Verdana" w:hAnsi="Verdana"/>
                <w:sz w:val="18"/>
                <w:szCs w:val="18"/>
                <w:lang w:val="sr-Latn-RS"/>
              </w:rPr>
              <w:t>34+</w:t>
            </w:r>
          </w:p>
        </w:tc>
        <w:tc>
          <w:tcPr>
            <w:tcW w:w="7395" w:type="dxa"/>
            <w:gridSpan w:val="2"/>
            <w:vAlign w:val="center"/>
          </w:tcPr>
          <w:p w14:paraId="373F061B" w14:textId="0195B19E" w:rsidR="00A00A58" w:rsidRPr="0013313C" w:rsidRDefault="003C5C8D" w:rsidP="0013313C">
            <w:pPr>
              <w:spacing w:before="120" w:after="120" w:line="260" w:lineRule="atLeast"/>
              <w:jc w:val="both"/>
              <w:rPr>
                <w:rFonts w:ascii="Verdana" w:hAnsi="Verdana"/>
                <w:i/>
                <w:sz w:val="18"/>
                <w:szCs w:val="18"/>
                <w:lang w:val="sr-Latn-RS"/>
              </w:rPr>
            </w:pPr>
            <w:r w:rsidRPr="0013313C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>Predavač treba da rekapitulira ciljeve sesije zajedno s polaznicima i da pruži polaznicima mogućnost da postave pitanja u vezi s materijalom koji je sadržan u ovom modulu</w:t>
            </w:r>
            <w:r w:rsidR="00B468A3" w:rsidRPr="0013313C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>.</w:t>
            </w:r>
          </w:p>
        </w:tc>
      </w:tr>
      <w:tr w:rsidR="003406F3" w:rsidRPr="0013313C" w14:paraId="2ECF09B7" w14:textId="77777777" w:rsidTr="0013313C">
        <w:trPr>
          <w:trHeight w:val="881"/>
        </w:trPr>
        <w:tc>
          <w:tcPr>
            <w:tcW w:w="9010" w:type="dxa"/>
            <w:gridSpan w:val="3"/>
            <w:vAlign w:val="center"/>
          </w:tcPr>
          <w:p w14:paraId="55ED1F4B" w14:textId="7384E71A" w:rsidR="00CB3026" w:rsidRPr="0013313C" w:rsidRDefault="003C5C8D" w:rsidP="0013313C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13313C">
              <w:rPr>
                <w:rFonts w:ascii="Verdana" w:hAnsi="Verdana"/>
                <w:b/>
                <w:sz w:val="22"/>
                <w:szCs w:val="22"/>
                <w:lang w:val="sr-Latn-RS"/>
              </w:rPr>
              <w:lastRenderedPageBreak/>
              <w:t>Praktične vežbe</w:t>
            </w:r>
          </w:p>
          <w:p w14:paraId="04D65D89" w14:textId="1A48835E" w:rsidR="00CB3026" w:rsidRPr="0013313C" w:rsidRDefault="003C5C8D" w:rsidP="0013313C">
            <w:pPr>
              <w:spacing w:before="120" w:after="120" w:line="260" w:lineRule="atLeast"/>
              <w:ind w:firstLine="720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13313C">
              <w:rPr>
                <w:rFonts w:ascii="Verdana" w:hAnsi="Verdana"/>
                <w:sz w:val="18"/>
                <w:szCs w:val="18"/>
                <w:lang w:val="sr-Latn-RS"/>
              </w:rPr>
              <w:t xml:space="preserve">Nisu predviđene nikakve praktične vežbe za ovu lekciju. </w:t>
            </w:r>
          </w:p>
        </w:tc>
      </w:tr>
      <w:tr w:rsidR="003406F3" w:rsidRPr="0013313C" w14:paraId="603967A2" w14:textId="77777777" w:rsidTr="00801300">
        <w:tc>
          <w:tcPr>
            <w:tcW w:w="9010" w:type="dxa"/>
            <w:gridSpan w:val="3"/>
            <w:vAlign w:val="center"/>
          </w:tcPr>
          <w:p w14:paraId="57B48D1E" w14:textId="08E6ADD7" w:rsidR="00CB3026" w:rsidRPr="0013313C" w:rsidRDefault="003C5C8D" w:rsidP="0013313C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13313C">
              <w:rPr>
                <w:rFonts w:ascii="Verdana" w:hAnsi="Verdana"/>
                <w:b/>
                <w:sz w:val="22"/>
                <w:szCs w:val="22"/>
                <w:lang w:val="sr-Latn-RS"/>
              </w:rPr>
              <w:t>Procena/</w:t>
            </w:r>
            <w:r w:rsidR="006C6605" w:rsidRPr="0013313C">
              <w:rPr>
                <w:rFonts w:ascii="Verdana" w:hAnsi="Verdana"/>
                <w:b/>
                <w:sz w:val="22"/>
                <w:szCs w:val="22"/>
                <w:lang w:val="sr-Latn-RS"/>
              </w:rPr>
              <w:t>k</w:t>
            </w:r>
            <w:r w:rsidRPr="0013313C">
              <w:rPr>
                <w:rFonts w:ascii="Verdana" w:hAnsi="Verdana"/>
                <w:b/>
                <w:sz w:val="22"/>
                <w:szCs w:val="22"/>
                <w:lang w:val="sr-Latn-RS"/>
              </w:rPr>
              <w:t>ontrola znanja</w:t>
            </w:r>
          </w:p>
          <w:p w14:paraId="4496975B" w14:textId="4C486F73" w:rsidR="00CB3026" w:rsidRPr="0013313C" w:rsidRDefault="003C5C8D" w:rsidP="0013313C">
            <w:pPr>
              <w:spacing w:before="120" w:after="120" w:line="260" w:lineRule="atLeast"/>
              <w:ind w:firstLine="720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13313C">
              <w:rPr>
                <w:rFonts w:ascii="Verdana" w:hAnsi="Verdana"/>
                <w:sz w:val="18"/>
                <w:szCs w:val="18"/>
                <w:lang w:val="sr-Latn-RS"/>
              </w:rPr>
              <w:t>Nije planiran nikakav poseban test znanja ili procena za ovu sesiju. Podstičemo predavača da proverava znanje i razumevanje polaznika tako što će sve vreme tokom sesije postavljati relevantna pitanja</w:t>
            </w:r>
            <w:r w:rsidR="00B468A3" w:rsidRPr="0013313C">
              <w:rPr>
                <w:rFonts w:ascii="Verdana" w:hAnsi="Verdana"/>
                <w:sz w:val="18"/>
                <w:szCs w:val="18"/>
                <w:lang w:val="sr-Latn-RS"/>
              </w:rPr>
              <w:t>.</w:t>
            </w:r>
          </w:p>
        </w:tc>
      </w:tr>
    </w:tbl>
    <w:p w14:paraId="15498912" w14:textId="77777777" w:rsidR="00D82C18" w:rsidRPr="00C51DCB" w:rsidRDefault="00D82C18">
      <w:pPr>
        <w:rPr>
          <w:rFonts w:ascii="Verdana" w:hAnsi="Verdana"/>
          <w:lang w:val="sr-Latn-RS"/>
        </w:rPr>
      </w:pPr>
    </w:p>
    <w:sectPr w:rsidR="00D82C18" w:rsidRPr="00C51DCB" w:rsidSect="00E95703">
      <w:pgSz w:w="11900" w:h="16840"/>
      <w:pgMar w:top="78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 Bold">
    <w:altName w:val="Times New Roman"/>
    <w:panose1 w:val="020B0804030504040204"/>
    <w:charset w:val="00"/>
    <w:family w:val="auto"/>
    <w:pitch w:val="variable"/>
    <w:sig w:usb0="00000001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2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E40291E"/>
    <w:multiLevelType w:val="hybridMultilevel"/>
    <w:tmpl w:val="47723308"/>
    <w:lvl w:ilvl="0" w:tplc="1C3A5EC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08497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A50EE4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D4992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694AA1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CE85D2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A44EB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1CC412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1E5C4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7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2C18"/>
    <w:rsid w:val="00041554"/>
    <w:rsid w:val="0004624D"/>
    <w:rsid w:val="000638CF"/>
    <w:rsid w:val="000A6995"/>
    <w:rsid w:val="00105DD4"/>
    <w:rsid w:val="0013313C"/>
    <w:rsid w:val="00151ADF"/>
    <w:rsid w:val="00157630"/>
    <w:rsid w:val="00175ADE"/>
    <w:rsid w:val="001812A1"/>
    <w:rsid w:val="00185B76"/>
    <w:rsid w:val="001B428D"/>
    <w:rsid w:val="001B5DAD"/>
    <w:rsid w:val="00271010"/>
    <w:rsid w:val="0027512B"/>
    <w:rsid w:val="002F375E"/>
    <w:rsid w:val="003406F3"/>
    <w:rsid w:val="00357C78"/>
    <w:rsid w:val="00362142"/>
    <w:rsid w:val="003630ED"/>
    <w:rsid w:val="00397FEA"/>
    <w:rsid w:val="003C5C8D"/>
    <w:rsid w:val="003E0EDB"/>
    <w:rsid w:val="004324E9"/>
    <w:rsid w:val="00455F04"/>
    <w:rsid w:val="004639E3"/>
    <w:rsid w:val="004D1009"/>
    <w:rsid w:val="0051122C"/>
    <w:rsid w:val="00534FB7"/>
    <w:rsid w:val="005515BA"/>
    <w:rsid w:val="005703B7"/>
    <w:rsid w:val="00594B3F"/>
    <w:rsid w:val="005951B6"/>
    <w:rsid w:val="005A4E47"/>
    <w:rsid w:val="006B6864"/>
    <w:rsid w:val="006C6605"/>
    <w:rsid w:val="006F1A51"/>
    <w:rsid w:val="006F4B1A"/>
    <w:rsid w:val="00707528"/>
    <w:rsid w:val="007169BB"/>
    <w:rsid w:val="00761BA4"/>
    <w:rsid w:val="007A7A28"/>
    <w:rsid w:val="007B75A9"/>
    <w:rsid w:val="00823B30"/>
    <w:rsid w:val="008D17FB"/>
    <w:rsid w:val="008D7196"/>
    <w:rsid w:val="008E3FE7"/>
    <w:rsid w:val="00900B96"/>
    <w:rsid w:val="009245EF"/>
    <w:rsid w:val="009277BD"/>
    <w:rsid w:val="0094072C"/>
    <w:rsid w:val="00941A71"/>
    <w:rsid w:val="009A46F5"/>
    <w:rsid w:val="00A00A58"/>
    <w:rsid w:val="00A03CF0"/>
    <w:rsid w:val="00A4110D"/>
    <w:rsid w:val="00A451B2"/>
    <w:rsid w:val="00A45C00"/>
    <w:rsid w:val="00A734A5"/>
    <w:rsid w:val="00A94A2A"/>
    <w:rsid w:val="00AD2B58"/>
    <w:rsid w:val="00AF62EC"/>
    <w:rsid w:val="00B03741"/>
    <w:rsid w:val="00B468A3"/>
    <w:rsid w:val="00B569A5"/>
    <w:rsid w:val="00B71D66"/>
    <w:rsid w:val="00BB0093"/>
    <w:rsid w:val="00C03A1E"/>
    <w:rsid w:val="00C05FBE"/>
    <w:rsid w:val="00C51DCB"/>
    <w:rsid w:val="00C541A2"/>
    <w:rsid w:val="00C9640B"/>
    <w:rsid w:val="00CB02C4"/>
    <w:rsid w:val="00CB3026"/>
    <w:rsid w:val="00CF0C7C"/>
    <w:rsid w:val="00D82C18"/>
    <w:rsid w:val="00D944B5"/>
    <w:rsid w:val="00DB09DC"/>
    <w:rsid w:val="00E13BE7"/>
    <w:rsid w:val="00E17E67"/>
    <w:rsid w:val="00E55549"/>
    <w:rsid w:val="00E7344B"/>
    <w:rsid w:val="00E95703"/>
    <w:rsid w:val="00EB11FC"/>
    <w:rsid w:val="00EC79FB"/>
    <w:rsid w:val="00EE32C4"/>
    <w:rsid w:val="00F35B67"/>
    <w:rsid w:val="00F4792B"/>
    <w:rsid w:val="00F53802"/>
    <w:rsid w:val="00F62A15"/>
    <w:rsid w:val="00FC677E"/>
    <w:rsid w:val="00FD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7CF78"/>
  <w14:defaultImageDpi w14:val="32767"/>
  <w15:docId w15:val="{488CC129-5A01-4328-971B-2E8A7D05F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7C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de-DE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de-DE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paragraph" w:styleId="NormalWeb">
    <w:name w:val="Normal (Web)"/>
    <w:basedOn w:val="Normal"/>
    <w:uiPriority w:val="99"/>
    <w:semiHidden/>
    <w:unhideWhenUsed/>
    <w:rsid w:val="00151AD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24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24E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C66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660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660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66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660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79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02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22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28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195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921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136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244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5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39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39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18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81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793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Jones, Nigel (nigel.jones@canterbury.ac.uk)</dc:creator>
  <cp:lastModifiedBy>CEAUSU Diana</cp:lastModifiedBy>
  <cp:revision>3</cp:revision>
  <dcterms:created xsi:type="dcterms:W3CDTF">2021-04-03T09:31:00Z</dcterms:created>
  <dcterms:modified xsi:type="dcterms:W3CDTF">2021-04-14T07:37:00Z</dcterms:modified>
</cp:coreProperties>
</file>